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《郑州市惠济</w:t>
      </w:r>
      <w:bookmarkStart w:id="0" w:name="_GoBack"/>
      <w:bookmarkEnd w:id="0"/>
      <w:r>
        <w:rPr>
          <w:rFonts w:hint="eastAsia" w:ascii="方正小标宋简体" w:hAnsi="方正小标宋简体" w:eastAsia="方正小标宋简体" w:cs="方正小标宋简体"/>
          <w:sz w:val="44"/>
          <w:szCs w:val="44"/>
        </w:rPr>
        <w:t>区人民政府办公室</w:t>
      </w:r>
    </w:p>
    <w:p>
      <w:pPr>
        <w:keepNext w:val="0"/>
        <w:keepLines w:val="0"/>
        <w:pageBreakBefore w:val="0"/>
        <w:widowControl w:val="0"/>
        <w:kinsoku/>
        <w:wordWrap/>
        <w:overflowPunct/>
        <w:topLinePunct w:val="0"/>
        <w:bidi w:val="0"/>
        <w:snapToGrid/>
        <w:spacing w:line="60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关于印发惠济区乡村两级政务服务事项全面</w:t>
      </w:r>
    </w:p>
    <w:p>
      <w:pPr>
        <w:keepNext w:val="0"/>
        <w:keepLines w:val="0"/>
        <w:pageBreakBefore w:val="0"/>
        <w:widowControl w:val="0"/>
        <w:kinsoku/>
        <w:wordWrap/>
        <w:overflowPunct/>
        <w:topLinePunct w:val="0"/>
        <w:bidi w:val="0"/>
        <w:snapToGrid/>
        <w:spacing w:line="600" w:lineRule="exact"/>
        <w:ind w:lef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推行证明事项告知承诺制清单的通知</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bidi w:val="0"/>
        <w:snapToGrid/>
        <w:spacing w:line="600" w:lineRule="exact"/>
        <w:ind w:left="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keepNext w:val="0"/>
        <w:keepLines w:val="0"/>
        <w:pageBreakBefore w:val="0"/>
        <w:widowControl w:val="0"/>
        <w:kinsoku/>
        <w:wordWrap/>
        <w:overflowPunct/>
        <w:topLinePunct w:val="0"/>
        <w:bidi w:val="0"/>
        <w:snapToGrid/>
        <w:spacing w:line="600" w:lineRule="exact"/>
        <w:ind w:left="0"/>
        <w:textAlignment w:val="auto"/>
        <w:rPr>
          <w:rFonts w:hint="eastAsia" w:ascii="仿宋" w:hAnsi="仿宋" w:eastAsia="仿宋" w:cstheme="minorBidi"/>
          <w:kern w:val="2"/>
          <w:sz w:val="32"/>
          <w:szCs w:val="24"/>
          <w:lang w:val="en-US" w:eastAsia="zh-CN" w:bidi="ar-SA"/>
        </w:rPr>
      </w:pP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为进一步深化“放管服”改革，创新改革举措，推进证明事项告知承诺制向基层延伸，根据《河南省人民政府办公厅关于印发河南省全面推行证明事项告知承诺制工作实施方案的通知》(豫政办〔2021〕2号)、《郑州市人民政府办公厅关于乡村两级政务服务事项全面推行证明事项告知承诺制的通知》（郑政办〔2022〕85号）等要求，制定《惠济区乡村两级政务服务事项全面推行证明事项告知承诺制清单》，现就有关内容解读如下。</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一、背景依据</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按照省、市政府要求，郑州市在市县两级行政执法部门已全面推行证明事项告知承诺制工作，在方便企业和群众办事方面取得了较好效果。为进一步深化“放管服”改革，创新改革举措，在市县两级政务服务事项全面推行证明事项告知承诺制的基础上，推进证明事项告知承诺制向基层延伸。</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为进一步优化基层办事流程，完善基层便民服务措施，从制度层面进一步解决企业和群众办证多、办事难、多头跑、来回跑等问题，区司法局组织相关单位，以《河南省乡村两级政务服务事项通用目录》为基础，结合我区实际情况，对乡村两级政务服务事项涉及的证明事项进行梳理，建立了惠济区乡村两级政务服务事项全面推行证明事项告知承诺制清单。</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ascii="黑体" w:hAnsi="黑体" w:eastAsia="黑体" w:cs="黑体"/>
          <w:sz w:val="32"/>
        </w:rPr>
      </w:pPr>
      <w:r>
        <w:rPr>
          <w:rFonts w:ascii="黑体" w:hAnsi="黑体" w:eastAsia="黑体" w:cs="黑体"/>
          <w:sz w:val="32"/>
          <w:szCs w:val="32"/>
        </w:rPr>
        <w:t>二、</w:t>
      </w:r>
      <w:r>
        <w:rPr>
          <w:rFonts w:hint="eastAsia" w:ascii="黑体" w:hAnsi="黑体" w:eastAsia="黑体" w:cs="黑体"/>
          <w:sz w:val="32"/>
        </w:rPr>
        <w:t>目的意义</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将推行证明事项告知承诺制向乡村两级政务服务事项延伸，目的是进一步优化基层办事流程，完善基层便民服务措施。将推行证明事项告知承诺制向乡村两级政务服务事项延伸后，惠济区乡村两级政务服务事项全面推行证明事项告知承诺制，对当事人申请政务服务事项中实行告知承诺制的证明事项，不再索要有关证明而是依据书面承诺即予以办理，让群众少跑腿，方便群众办事创业，切实解决群众办事难等问题，从而进一步深化“放管服”改革，持续开展“减证便民”，优化营商环境，激发市场主体发展活力和社会创造力。</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ascii="黑体" w:hAnsi="黑体" w:eastAsia="黑体" w:cs="黑体"/>
          <w:sz w:val="32"/>
        </w:rPr>
      </w:pPr>
      <w:r>
        <w:rPr>
          <w:rFonts w:ascii="黑体" w:hAnsi="黑体" w:eastAsia="黑体" w:cs="黑体"/>
          <w:sz w:val="32"/>
          <w:szCs w:val="32"/>
        </w:rPr>
        <w:t>三、</w:t>
      </w:r>
      <w:r>
        <w:rPr>
          <w:rFonts w:hint="eastAsia" w:ascii="黑体" w:hAnsi="黑体" w:eastAsia="黑体" w:cs="黑体"/>
          <w:sz w:val="32"/>
        </w:rPr>
        <w:t>动态管理</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以《河南省乡村两级政务服务事项通用目录》为基础，我区梳理和建立乡村两级政务服务事项全面推行证明事项告知承诺制清单，并结合实际情况进行动态管理。依据法律、法规的立改废释、机构或职能调整、国家和省简政放权对事项取消、下放、调整的要求,对清单实行动态调整,并及时对外公布。</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ascii="黑体" w:hAnsi="黑体" w:eastAsia="黑体" w:cs="黑体"/>
          <w:sz w:val="32"/>
        </w:rPr>
      </w:pPr>
      <w:r>
        <w:rPr>
          <w:rFonts w:ascii="黑体" w:hAnsi="黑体" w:eastAsia="黑体" w:cs="黑体"/>
          <w:sz w:val="32"/>
          <w:szCs w:val="32"/>
        </w:rPr>
        <w:t>四、</w:t>
      </w:r>
      <w:r>
        <w:rPr>
          <w:rFonts w:hint="eastAsia" w:ascii="黑体" w:hAnsi="黑体" w:eastAsia="黑体" w:cs="黑体"/>
          <w:sz w:val="32"/>
        </w:rPr>
        <w:t>保障落实</w:t>
      </w:r>
    </w:p>
    <w:p>
      <w:pPr>
        <w:keepNext w:val="0"/>
        <w:keepLines w:val="0"/>
        <w:pageBreakBefore w:val="0"/>
        <w:widowControl w:val="0"/>
        <w:kinsoku/>
        <w:wordWrap/>
        <w:overflowPunct/>
        <w:topLinePunct w:val="0"/>
        <w:bidi w:val="0"/>
        <w:snapToGrid/>
        <w:spacing w:line="600" w:lineRule="exact"/>
        <w:ind w:left="0" w:firstLine="640" w:firstLineChars="200"/>
        <w:textAlignment w:val="auto"/>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强化部门责任落实,做好政策工作培训和宣传解读，调整优化业务流程，修订完善工作规则和服务指南，确保改革措施全面落实，让企业、群众充分享受改革红利。</w:t>
      </w:r>
    </w:p>
    <w:p>
      <w:pPr>
        <w:keepNext w:val="0"/>
        <w:keepLines w:val="0"/>
        <w:pageBreakBefore w:val="0"/>
        <w:widowControl w:val="0"/>
        <w:kinsoku/>
        <w:wordWrap/>
        <w:overflowPunct/>
        <w:topLinePunct w:val="0"/>
        <w:bidi w:val="0"/>
        <w:snapToGrid/>
        <w:spacing w:line="600" w:lineRule="exact"/>
        <w:ind w:left="0" w:firstLine="643"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b/>
          <w:bCs/>
          <w:sz w:val="32"/>
          <w:szCs w:val="32"/>
        </w:rPr>
        <w:t>解读机关：</w:t>
      </w:r>
      <w:r>
        <w:rPr>
          <w:rFonts w:hint="eastAsia" w:ascii="仿宋_GB2312" w:hAnsi="仿宋_GB2312" w:eastAsia="仿宋_GB2312" w:cs="仿宋_GB2312"/>
          <w:kern w:val="2"/>
          <w:sz w:val="32"/>
          <w:szCs w:val="24"/>
          <w:lang w:val="en-US" w:eastAsia="zh-CN" w:bidi="ar-SA"/>
        </w:rPr>
        <w:t>郑州市惠济区司法局</w:t>
      </w:r>
    </w:p>
    <w:p>
      <w:pPr>
        <w:keepNext w:val="0"/>
        <w:keepLines w:val="0"/>
        <w:pageBreakBefore w:val="0"/>
        <w:widowControl w:val="0"/>
        <w:kinsoku/>
        <w:wordWrap/>
        <w:overflowPunct/>
        <w:topLinePunct w:val="0"/>
        <w:bidi w:val="0"/>
        <w:snapToGrid/>
        <w:spacing w:line="600" w:lineRule="exact"/>
        <w:ind w:left="0" w:firstLine="643" w:firstLineChars="200"/>
        <w:textAlignment w:val="auto"/>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b/>
          <w:bCs/>
          <w:sz w:val="32"/>
          <w:szCs w:val="32"/>
        </w:rPr>
        <w:t>解</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人：</w:t>
      </w:r>
      <w:r>
        <w:rPr>
          <w:rFonts w:hint="eastAsia" w:ascii="仿宋_GB2312" w:hAnsi="仿宋_GB2312" w:eastAsia="仿宋_GB2312" w:cs="仿宋_GB2312"/>
          <w:kern w:val="2"/>
          <w:sz w:val="32"/>
          <w:szCs w:val="24"/>
          <w:lang w:val="en-US" w:eastAsia="zh-CN" w:bidi="ar-SA"/>
        </w:rPr>
        <w:t>李艳</w:t>
      </w:r>
    </w:p>
    <w:p>
      <w:pPr>
        <w:keepNext w:val="0"/>
        <w:keepLines w:val="0"/>
        <w:pageBreakBefore w:val="0"/>
        <w:widowControl w:val="0"/>
        <w:kinsoku/>
        <w:wordWrap/>
        <w:overflowPunct/>
        <w:topLinePunct w:val="0"/>
        <w:bidi w:val="0"/>
        <w:snapToGrid/>
        <w:spacing w:line="600" w:lineRule="exact"/>
        <w:ind w:left="0" w:firstLine="643" w:firstLineChars="200"/>
        <w:textAlignment w:val="auto"/>
      </w:pPr>
      <w:r>
        <w:rPr>
          <w:rFonts w:hint="eastAsia" w:ascii="仿宋_GB2312" w:hAnsi="仿宋_GB2312" w:eastAsia="仿宋_GB2312" w:cs="仿宋_GB2312"/>
          <w:b/>
          <w:bCs/>
          <w:sz w:val="32"/>
          <w:szCs w:val="32"/>
        </w:rPr>
        <w:t>联系电话：</w:t>
      </w:r>
      <w:r>
        <w:rPr>
          <w:rFonts w:hint="eastAsia" w:ascii="仿宋_GB2312" w:hAnsi="仿宋_GB2312" w:eastAsia="仿宋_GB2312" w:cs="仿宋_GB2312"/>
          <w:sz w:val="32"/>
          <w:szCs w:val="32"/>
        </w:rPr>
        <w:t>0371-66682329</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5"/>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3</w:t>
                </w:r>
                <w:r>
                  <w:rPr>
                    <w:rFonts w:hint="eastAsia" w:ascii="仿宋" w:hAnsi="仿宋" w:eastAsia="仿宋" w:cs="仿宋"/>
                    <w:sz w:val="28"/>
                    <w:szCs w:val="28"/>
                  </w:rP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NkMTdlYTZiMzcyZmNjZWNkZGE3NjRlZjlkOGQ5ZjEifQ=="/>
  </w:docVars>
  <w:rsids>
    <w:rsidRoot w:val="4C515AB3"/>
    <w:rsid w:val="00255B11"/>
    <w:rsid w:val="00285E78"/>
    <w:rsid w:val="002D1D15"/>
    <w:rsid w:val="002F1444"/>
    <w:rsid w:val="003A21FD"/>
    <w:rsid w:val="00422893"/>
    <w:rsid w:val="0054020A"/>
    <w:rsid w:val="00545E06"/>
    <w:rsid w:val="008672BC"/>
    <w:rsid w:val="009149AB"/>
    <w:rsid w:val="009A683B"/>
    <w:rsid w:val="009B0AD3"/>
    <w:rsid w:val="009E1599"/>
    <w:rsid w:val="00A54223"/>
    <w:rsid w:val="00B373B8"/>
    <w:rsid w:val="00B45ED3"/>
    <w:rsid w:val="00BE5F9E"/>
    <w:rsid w:val="00C1084E"/>
    <w:rsid w:val="00C675E3"/>
    <w:rsid w:val="00CF2732"/>
    <w:rsid w:val="00CF55E4"/>
    <w:rsid w:val="00E74054"/>
    <w:rsid w:val="18740B45"/>
    <w:rsid w:val="3BFE166C"/>
    <w:rsid w:val="4B4E6D03"/>
    <w:rsid w:val="4C515AB3"/>
    <w:rsid w:val="5F23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hint="eastAsia" w:ascii="仿宋_GB2312" w:hAnsi="黑体" w:eastAsia="仿宋_GB2312" w:cs="黑体"/>
      <w:snapToGrid w:val="0"/>
      <w:color w:val="000000"/>
      <w:sz w:val="32"/>
      <w:szCs w:val="22"/>
      <w:lang w:val="en-US" w:eastAsia="zh-CN" w:bidi="ar-SA"/>
    </w:rPr>
  </w:style>
  <w:style w:type="paragraph" w:styleId="3">
    <w:name w:val="index 5"/>
    <w:basedOn w:val="1"/>
    <w:next w:val="1"/>
    <w:qFormat/>
    <w:uiPriority w:val="0"/>
    <w:pPr>
      <w:ind w:left="1680"/>
    </w:pPr>
    <w:rPr>
      <w:rFonts w:ascii="Times New Roman" w:hAnsi="Times New Roman" w:eastAsia="Times New Roman" w:cs="Times New Roman"/>
      <w:sz w:val="32"/>
    </w:r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1">
    <w:name w:val="NormalCharacter"/>
    <w:semiHidden/>
    <w:qFormat/>
    <w:uiPriority w:val="0"/>
    <w:rPr>
      <w:rFonts w:ascii="Calibri" w:hAnsi="Calibri" w:eastAsia="宋体" w:cs="Times New Roman"/>
      <w:kern w:val="2"/>
      <w:sz w:val="21"/>
      <w:szCs w:val="24"/>
      <w:lang w:val="en-US" w:eastAsia="zh-CN" w:bidi="ar-SA"/>
    </w:rPr>
  </w:style>
  <w:style w:type="paragraph" w:customStyle="1" w:styleId="12">
    <w:name w:val="Heading2"/>
    <w:basedOn w:val="1"/>
    <w:next w:val="1"/>
    <w:qFormat/>
    <w:uiPriority w:val="0"/>
    <w:pPr>
      <w:keepNext/>
      <w:spacing w:line="360" w:lineRule="auto"/>
      <w:ind w:firstLine="751" w:firstLineChars="170"/>
      <w:textAlignment w:val="baseline"/>
    </w:pPr>
    <w:rPr>
      <w:rFonts w:ascii="Cambria" w:hAnsi="Cambria" w:eastAsia="华文宋体" w:cs="Times New Roman"/>
      <w:b/>
      <w:bCs/>
      <w:iCs/>
      <w:sz w:val="32"/>
      <w:szCs w:val="28"/>
    </w:rPr>
  </w:style>
  <w:style w:type="paragraph" w:customStyle="1" w:styleId="13">
    <w:name w:val="列出段落1"/>
    <w:basedOn w:val="1"/>
    <w:qFormat/>
    <w:uiPriority w:val="0"/>
    <w:pPr>
      <w:ind w:firstLine="420" w:firstLineChars="200"/>
    </w:pPr>
  </w:style>
  <w:style w:type="character" w:customStyle="1" w:styleId="1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1017</Words>
  <Characters>1036</Characters>
  <Lines>1</Lines>
  <Paragraphs>2</Paragraphs>
  <TotalTime>2</TotalTime>
  <ScaleCrop>false</ScaleCrop>
  <LinksUpToDate>false</LinksUpToDate>
  <CharactersWithSpaces>1038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2022-06-27T03:29:00Z</dcterms:created>
  <dc:creator>^炫懿わら伤白^</dc:creator>
  <cp:lastModifiedBy>信息中心</cp:lastModifiedBy>
  <cp:lastPrinted>2022-06-27T08:17:00Z</cp:lastPrinted>
  <dcterms:modified xsi:type="dcterms:W3CDTF">2023-04-21T03:13:19Z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03443C8FCB9B47F89CD28D48B885F41B</vt:lpwstr>
  </property>
</Properties>
</file>