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楷体_GB2312" w:eastAsia="楷体_GB2312"/>
          <w:b/>
          <w:bCs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20"/>
          <w:kern w:val="0"/>
          <w:sz w:val="44"/>
          <w:szCs w:val="44"/>
        </w:rPr>
        <w:t>郑州市</w:t>
      </w:r>
      <w:r>
        <w:rPr>
          <w:rFonts w:hint="eastAsia" w:ascii="方正小标宋简体" w:eastAsia="方正小标宋简体"/>
          <w:bCs/>
          <w:sz w:val="44"/>
          <w:szCs w:val="44"/>
        </w:rPr>
        <w:t>惠济区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bCs/>
          <w:sz w:val="44"/>
          <w:szCs w:val="44"/>
        </w:rPr>
        <w:t>年预算公开情况说明</w:t>
      </w:r>
    </w:p>
    <w:p>
      <w:pPr>
        <w:tabs>
          <w:tab w:val="center" w:pos="4422"/>
        </w:tabs>
        <w:spacing w:line="570" w:lineRule="exact"/>
        <w:rPr>
          <w:rFonts w:hint="eastAsia" w:ascii="仿宋_GB2312"/>
        </w:rPr>
      </w:pPr>
    </w:p>
    <w:p>
      <w:pPr>
        <w:spacing w:line="570" w:lineRule="exact"/>
        <w:ind w:firstLine="643" w:firstLineChars="200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  <w:lang w:val="en-US" w:eastAsia="zh-CN"/>
        </w:rPr>
        <w:t>一</w:t>
      </w:r>
      <w:r>
        <w:rPr>
          <w:rFonts w:hint="eastAsia" w:ascii="楷体_GB2312" w:eastAsia="楷体_GB2312"/>
          <w:b/>
        </w:rPr>
        <w:t>、</w:t>
      </w:r>
      <w:r>
        <w:rPr>
          <w:rFonts w:hint="eastAsia" w:ascii="楷体_GB2312" w:eastAsia="楷体_GB2312"/>
          <w:b/>
          <w:lang w:val="en-US" w:eastAsia="zh-CN"/>
        </w:rPr>
        <w:t>一般公共预算收入</w:t>
      </w:r>
      <w:r>
        <w:rPr>
          <w:rFonts w:hint="eastAsia" w:ascii="楷体_GB2312" w:eastAsia="楷体_GB2312"/>
          <w:b/>
        </w:rPr>
        <w:t>安排情况 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2022年一般公共财政预算收入安排为303647万元，同比增长4％。具体收入项目是：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1.增值税安排101719万元，同比增长18.70％；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2.企业所得税安排38940万元，同比增长20.63％；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3.个人所得税安排11992万元，同比增长21.64％；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4.资源税安排12056万元，同比增长24.99％；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5.城市维护建设税安排15030万元，同比增长21.68％；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6.房产税安排12812万元，同比增长25.98％；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7.印花税安排4290万元，同比增长22.90％；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8.城镇土地使用税安排10018万元，同比增长22.46％；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9.土地增值税安排27856万元，同比增长21.59％；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10.车船税安排130万元，同比增长26.35％；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11.耕地占用税安排1858万元，同比增长52.10％；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12.契税安排48813万元，同比下降26.58%；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13.环境保护税安排117万元，同比增长27.98％；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14.专项收入安排9795万元，同比增长14.96％；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15.行政事业性收费收入安排2904万元,同比增长6.34％;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16.罚没收入安排2150万元，同比下降61.21％；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17.国有资源（资产）有偿使用收入安排2200万元，同比下降81.21％;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 xml:space="preserve">18.其他收入安排967万元，同比增长6.87％。 </w:t>
      </w:r>
    </w:p>
    <w:p>
      <w:pPr>
        <w:spacing w:line="570" w:lineRule="exact"/>
        <w:ind w:firstLine="643" w:firstLineChars="20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楷体_GB2312" w:eastAsia="楷体_GB2312"/>
          <w:b/>
          <w:lang w:val="en-US" w:eastAsia="zh-CN"/>
        </w:rPr>
        <w:t>二</w:t>
      </w:r>
      <w:r>
        <w:rPr>
          <w:rFonts w:hint="eastAsia" w:ascii="楷体_GB2312" w:eastAsia="楷体_GB2312"/>
          <w:b/>
        </w:rPr>
        <w:t>、</w:t>
      </w:r>
      <w:r>
        <w:rPr>
          <w:rFonts w:hint="eastAsia" w:ascii="楷体_GB2312" w:eastAsia="楷体_GB2312"/>
          <w:b/>
          <w:lang w:val="en-US" w:eastAsia="zh-CN"/>
        </w:rPr>
        <w:t>一般公共预算支出</w:t>
      </w:r>
      <w:r>
        <w:rPr>
          <w:rFonts w:hint="eastAsia" w:ascii="楷体_GB2312" w:eastAsia="楷体_GB2312"/>
          <w:b/>
        </w:rPr>
        <w:t>安排情况 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2022年一般公共预算收入303647万元，按照新的财政体制，需上解201500万元，加上上级补助收入、上级项目追加和上年结转项目资金后，当年可用财力为154753万元（含上级补助收入34837万元），动用预算稳定调节基金12475万元、从政府性基金预算、其他资金调入一般公共预算62698万元，实际可动用财力为217451万元。2022年一般公共预算支出安排为217451万元，同比2021年预算支出下降8.99％，减少21482万元。2022年主要支出项目是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1.一般公共服务支出安排38742万元。其中：人员经费20585万元，公用及运转经费3186万元，专项经费14971万元；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2.国防支出安排441万元。其中：人员经费114万元，公用及运转经费62万元，专项经费265万元；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3.公共安全支出安排1254万元。其中：人员经费611万元，公用及运转经费102万元，专项经费541万元；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4.教育支出安排58141万元。其中：人员经费35822万元，公用及运转经费(含学生平均经费）2543万元，专项经费19776万元；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5.科学技术支出安排333万元。其中：人员经费89万元，公用及运转经费8万元，专项经费236万元；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6.文化旅游体育与传媒支出安排797万元。其中：人员经费498万元，公用及运转经费48万元，专项经费251万元；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7.社会保障和就业支出安排25962万元。其中：人员经费11849万元，公用及运转经费234万元，专项经费13879万元；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8.卫生健康支出安排22506万元。其中：人员经费6930万元，公用及运转经费189万元，专项经费15387万元；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9.节能环保支出安排1303万元。其中：人员经费148万元，公用及运转经费4万元，专项经费1151万元；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10.城乡社区支出安排23690万元。其中：人员经费4286万元，公用及运转经费358万元，专项经费19046万元；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11.农林水支出安排9218万元。其中：人员经费1962万元，公用及运转经费215万元，专项经费7041万元；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12.交通运输支出安排2088万元。其中：人员经费706万元，公用及运转经费65万元，专项经费1317万元；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13.资源勘探信息等事务支出安排60万，其中：专项经费60万元。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14.商业服务业等事务支出安排9万元。其中：专项经费9万元。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15.自然资源海洋气象等支出安排1211万元。其中：人员经费1050万元，公用及运转经费94万元，专项经费67万元；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16.住房保障支出安排13588万元。其中：人员经费13588万元；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17.灾害防治及应急管理支出安排5000万元。其中：人员经费541万元，公用及运转经费44万元，专项经费4415万元；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 xml:space="preserve">18.预备费支出安排3133万元； 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textAlignment w:val="auto"/>
        <w:rPr>
          <w:rFonts w:hint="eastAsia" w:ascii="楷体_GB2312" w:eastAsia="楷体_GB2312"/>
          <w:b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19.债务付息支出安排9975万元。</w:t>
      </w:r>
    </w:p>
    <w:p>
      <w:pPr>
        <w:spacing w:line="570" w:lineRule="exact"/>
        <w:ind w:firstLine="643" w:firstLineChars="200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三、“三公”经费预算安排情况 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20</w:t>
      </w:r>
      <w:r>
        <w:rPr>
          <w:rFonts w:hint="eastAsia" w:ascii="仿宋" w:hAnsi="仿宋" w:eastAsia="仿宋" w:cs="仿宋"/>
          <w:lang w:val="en-US" w:eastAsia="zh-CN"/>
        </w:rPr>
        <w:t>22</w:t>
      </w:r>
      <w:r>
        <w:rPr>
          <w:rFonts w:hint="eastAsia" w:ascii="仿宋" w:hAnsi="仿宋" w:eastAsia="仿宋" w:cs="仿宋"/>
        </w:rPr>
        <w:t>年惠济区“三公”经费预算安排</w:t>
      </w:r>
      <w:r>
        <w:rPr>
          <w:rFonts w:hint="eastAsia" w:ascii="仿宋" w:hAnsi="仿宋" w:eastAsia="仿宋" w:cs="仿宋"/>
          <w:lang w:val="en-US" w:eastAsia="zh-CN"/>
        </w:rPr>
        <w:t>249</w:t>
      </w:r>
      <w:r>
        <w:rPr>
          <w:rFonts w:hint="eastAsia" w:ascii="仿宋" w:hAnsi="仿宋" w:eastAsia="仿宋" w:cs="仿宋"/>
        </w:rPr>
        <w:t>万元，其中：公务用车运行维护费及购置费安排</w:t>
      </w:r>
      <w:r>
        <w:rPr>
          <w:rFonts w:hint="eastAsia" w:ascii="仿宋" w:hAnsi="仿宋" w:eastAsia="仿宋" w:cs="仿宋"/>
          <w:lang w:val="en-US" w:eastAsia="zh-CN"/>
        </w:rPr>
        <w:t>214</w:t>
      </w:r>
      <w:r>
        <w:rPr>
          <w:rFonts w:hint="eastAsia" w:ascii="仿宋" w:hAnsi="仿宋" w:eastAsia="仿宋" w:cs="仿宋"/>
        </w:rPr>
        <w:t>万元；公务接待费安排</w:t>
      </w:r>
      <w:r>
        <w:rPr>
          <w:rFonts w:hint="eastAsia" w:ascii="仿宋" w:hAnsi="仿宋" w:eastAsia="仿宋" w:cs="仿宋"/>
          <w:lang w:val="en-US" w:eastAsia="zh-CN"/>
        </w:rPr>
        <w:t>35</w:t>
      </w:r>
      <w:r>
        <w:rPr>
          <w:rFonts w:hint="eastAsia" w:ascii="仿宋" w:hAnsi="仿宋" w:eastAsia="仿宋" w:cs="仿宋"/>
        </w:rPr>
        <w:t>万元。</w:t>
      </w:r>
      <w:r>
        <w:rPr>
          <w:rFonts w:hint="eastAsia" w:ascii="宋体" w:hAnsi="宋体" w:eastAsia="宋体" w:cs="宋体"/>
        </w:rPr>
        <w:t> </w:t>
      </w:r>
    </w:p>
    <w:p>
      <w:pPr>
        <w:spacing w:line="570" w:lineRule="exact"/>
        <w:ind w:firstLine="643" w:firstLineChars="200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/>
        </w:rPr>
        <w:t>四、转移支付</w:t>
      </w:r>
      <w:r>
        <w:rPr>
          <w:rFonts w:hint="eastAsia" w:ascii="楷体_GB2312" w:eastAsia="楷体_GB2312"/>
          <w:b/>
          <w:lang w:eastAsia="zh-CN"/>
        </w:rPr>
        <w:t>和</w:t>
      </w:r>
      <w:r>
        <w:rPr>
          <w:rFonts w:hint="eastAsia" w:ascii="楷体_GB2312" w:eastAsia="楷体_GB2312"/>
          <w:b/>
        </w:rPr>
        <w:t>税收返还情况说明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2022</w:t>
      </w:r>
      <w:r>
        <w:rPr>
          <w:rFonts w:hint="eastAsia" w:ascii="仿宋" w:hAnsi="仿宋" w:eastAsia="仿宋" w:cs="仿宋"/>
        </w:rPr>
        <w:t>年我区</w:t>
      </w:r>
      <w:r>
        <w:rPr>
          <w:rFonts w:hint="eastAsia" w:ascii="仿宋" w:hAnsi="仿宋" w:eastAsia="仿宋" w:cs="仿宋"/>
          <w:lang w:eastAsia="zh-CN"/>
        </w:rPr>
        <w:t>上级补助收入</w:t>
      </w:r>
      <w:r>
        <w:rPr>
          <w:rFonts w:hint="eastAsia" w:ascii="仿宋" w:hAnsi="仿宋" w:eastAsia="仿宋" w:cs="仿宋"/>
        </w:rPr>
        <w:t>共计</w:t>
      </w:r>
      <w:r>
        <w:rPr>
          <w:rFonts w:hint="eastAsia" w:ascii="仿宋" w:hAnsi="仿宋" w:eastAsia="仿宋" w:cs="仿宋"/>
          <w:lang w:val="en-US" w:eastAsia="zh-CN"/>
        </w:rPr>
        <w:t>34837</w:t>
      </w:r>
      <w:r>
        <w:rPr>
          <w:rFonts w:hint="eastAsia" w:ascii="仿宋" w:hAnsi="仿宋" w:eastAsia="仿宋" w:cs="仿宋"/>
        </w:rPr>
        <w:t>万元，其中一般性转移支付</w:t>
      </w:r>
      <w:r>
        <w:rPr>
          <w:rFonts w:hint="eastAsia" w:ascii="仿宋" w:hAnsi="仿宋" w:eastAsia="仿宋" w:cs="仿宋"/>
          <w:lang w:val="en-US" w:eastAsia="zh-CN"/>
        </w:rPr>
        <w:t>22169</w:t>
      </w:r>
      <w:r>
        <w:rPr>
          <w:rFonts w:hint="eastAsia" w:ascii="仿宋" w:hAnsi="仿宋" w:eastAsia="仿宋" w:cs="仿宋"/>
        </w:rPr>
        <w:t>万元，专项转移支付</w:t>
      </w:r>
      <w:r>
        <w:rPr>
          <w:rFonts w:hint="eastAsia" w:ascii="仿宋" w:hAnsi="仿宋" w:eastAsia="仿宋" w:cs="仿宋"/>
          <w:lang w:val="en-US" w:eastAsia="zh-CN"/>
        </w:rPr>
        <w:t>682</w:t>
      </w:r>
      <w:r>
        <w:rPr>
          <w:rFonts w:hint="eastAsia" w:ascii="仿宋" w:hAnsi="仿宋" w:eastAsia="仿宋" w:cs="仿宋"/>
        </w:rPr>
        <w:t>万元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税收返还收入11986万元。</w:t>
      </w:r>
    </w:p>
    <w:p>
      <w:pPr>
        <w:spacing w:line="570" w:lineRule="exact"/>
        <w:ind w:firstLine="643" w:firstLineChars="200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/>
          <w:lang w:eastAsia="zh-CN"/>
        </w:rPr>
        <w:t>五</w:t>
      </w:r>
      <w:r>
        <w:rPr>
          <w:rFonts w:hint="eastAsia" w:ascii="楷体_GB2312" w:eastAsia="楷体_GB2312"/>
          <w:b/>
        </w:rPr>
        <w:t>、债务支出说明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2022</w:t>
      </w:r>
      <w:r>
        <w:rPr>
          <w:rFonts w:hint="eastAsia" w:ascii="仿宋" w:hAnsi="仿宋" w:eastAsia="仿宋" w:cs="仿宋"/>
        </w:rPr>
        <w:t>年我区一般债务利息支出</w:t>
      </w:r>
      <w:r>
        <w:rPr>
          <w:rFonts w:hint="eastAsia" w:ascii="仿宋" w:hAnsi="仿宋" w:eastAsia="仿宋" w:cs="仿宋"/>
          <w:lang w:val="en-US" w:eastAsia="zh-CN"/>
        </w:rPr>
        <w:t>9975</w:t>
      </w:r>
      <w:r>
        <w:rPr>
          <w:rFonts w:hint="eastAsia" w:ascii="仿宋" w:hAnsi="仿宋" w:eastAsia="仿宋" w:cs="仿宋"/>
        </w:rPr>
        <w:t>万元。</w:t>
      </w:r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eastAsia="zh-CN"/>
        </w:rPr>
        <w:t>重大政策和重点项目等绩效目标情况说明</w:t>
      </w:r>
    </w:p>
    <w:p>
      <w:pPr>
        <w:widowControl/>
        <w:spacing w:line="360" w:lineRule="auto"/>
        <w:ind w:firstLine="64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本年度无此项业务开展。</w:t>
      </w:r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eastAsia="zh-CN"/>
        </w:rPr>
        <w:t>预算调整报告及报表说明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无调整预算。</w:t>
      </w:r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eastAsia="zh-CN"/>
        </w:rPr>
        <w:t>随同调整预算公开当年本地区及本级地方政府债务限额、本级新增地方政府债券资金使用安排等情况说明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无随同调整预算公开当年本地区及本级地方政府债务限额，无新增地方债券。</w:t>
      </w:r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eastAsia="zh-CN"/>
        </w:rPr>
        <w:t>扶贫资金公开说明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无扶贫资金。</w:t>
      </w:r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val="en-US" w:eastAsia="zh-CN"/>
        </w:rPr>
        <w:t>政府性基金预算的公开说明</w:t>
      </w:r>
    </w:p>
    <w:p>
      <w:pPr>
        <w:widowControl/>
        <w:spacing w:line="360" w:lineRule="auto"/>
        <w:ind w:firstLine="64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2022年政府性基金预算上年结余收入37704万元，政府性基金支出37704万元。</w:t>
      </w:r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val="en-US" w:eastAsia="zh-CN"/>
        </w:rPr>
        <w:t>国有资本经营预算的公开说明</w:t>
      </w:r>
    </w:p>
    <w:p>
      <w:pPr>
        <w:pStyle w:val="2"/>
        <w:ind w:firstLine="640" w:firstLineChars="200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无国有资本经营预算。</w:t>
      </w:r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val="en-US" w:eastAsia="zh-CN"/>
        </w:rPr>
        <w:t>、社会保险基金预算的</w:t>
      </w:r>
      <w:r>
        <w:rPr>
          <w:rFonts w:hint="eastAsia" w:ascii="楷体_GB2312" w:eastAsia="楷体_GB2312"/>
          <w:b/>
          <w:lang w:eastAsia="zh-CN"/>
        </w:rPr>
        <w:t>公开说明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无社会保险基金预算。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0"/>
        </w:numPr>
        <w:spacing w:line="570" w:lineRule="exact"/>
        <w:ind w:leftChars="200"/>
        <w:rPr>
          <w:rFonts w:hint="eastAsia" w:ascii="楷体_GB2312" w:eastAsia="楷体_GB2312"/>
          <w:b/>
          <w:lang w:eastAsia="zh-CN"/>
        </w:rPr>
      </w:pPr>
    </w:p>
    <w:p>
      <w:pPr>
        <w:spacing w:line="570" w:lineRule="exact"/>
        <w:ind w:right="160" w:rightChars="50" w:firstLine="640" w:firstLineChars="200"/>
        <w:rPr>
          <w:rFonts w:hint="eastAsia" w:ascii="仿宋_GB2312"/>
          <w:bCs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8" w:header="851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899" w:wrap="around" w:vAnchor="text" w:hAnchor="page" w:x="5909" w:y="3"/>
      <w:rPr>
        <w:rStyle w:val="11"/>
        <w:rFonts w:hint="eastAsia" w:ascii="仿宋_GB2312"/>
        <w:sz w:val="28"/>
        <w:szCs w:val="28"/>
      </w:rPr>
    </w:pPr>
    <w:r>
      <w:rPr>
        <w:rStyle w:val="11"/>
        <w:rFonts w:hint="eastAsia" w:ascii="仿宋_GB2312"/>
        <w:sz w:val="28"/>
        <w:szCs w:val="28"/>
      </w:rPr>
      <w:t>—</w:t>
    </w:r>
    <w:r>
      <w:rPr>
        <w:rFonts w:hint="eastAsia" w:ascii="仿宋_GB2312"/>
        <w:sz w:val="28"/>
        <w:szCs w:val="28"/>
      </w:rPr>
      <w:fldChar w:fldCharType="begin"/>
    </w:r>
    <w:r>
      <w:rPr>
        <w:rStyle w:val="11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1"/>
        <w:rFonts w:ascii="仿宋_GB2312"/>
        <w:sz w:val="28"/>
        <w:szCs w:val="28"/>
      </w:rPr>
      <w:t>5</w:t>
    </w:r>
    <w:r>
      <w:rPr>
        <w:rFonts w:hint="eastAsia" w:ascii="仿宋_GB2312"/>
        <w:sz w:val="28"/>
        <w:szCs w:val="28"/>
      </w:rPr>
      <w:fldChar w:fldCharType="end"/>
    </w:r>
    <w:r>
      <w:rPr>
        <w:rStyle w:val="11"/>
        <w:rFonts w:hint="eastAsia" w:ascii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6"/>
      <w:numFmt w:val="chineseCounting"/>
      <w:suff w:val="nothing"/>
      <w:lvlText w:val="%1、"/>
      <w:lvlJc w:val="left"/>
      <w:pPr>
        <w:ind w:left="31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E2D3C"/>
    <w:rsid w:val="4F5426C0"/>
    <w:rsid w:val="58002537"/>
    <w:rsid w:val="69A75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rFonts w:eastAsia="宋体"/>
      <w:sz w:val="21"/>
      <w:szCs w:val="24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 Char"/>
    <w:basedOn w:val="1"/>
    <w:link w:val="7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character" w:styleId="9">
    <w:name w:val="page number"/>
    <w:basedOn w:val="7"/>
    <w:qFormat/>
    <w:uiPriority w:val="0"/>
    <w:rPr>
      <w:rFonts w:ascii="Calibri" w:hAnsi="Calibri" w:eastAsia="宋体" w:cs="Times New Roman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character" w:customStyle="1" w:styleId="11">
    <w:name w:val="page number"/>
    <w:basedOn w:val="7"/>
    <w:qFormat/>
    <w:uiPriority w:val="0"/>
  </w:style>
  <w:style w:type="character" w:customStyle="1" w:styleId="12">
    <w:name w:val="页码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2019-04-03T01:13:00Z</dcterms:created>
  <dc:creator>miss-cat秦大好人</dc:creator>
  <cp:lastModifiedBy>aTishoo</cp:lastModifiedBy>
  <dcterms:modified xsi:type="dcterms:W3CDTF">2023-01-06T09:07:07Z</dcterms:modified>
  <dc:title>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F9AA70ACE5B2466E92B200EE3A6E74CE</vt:lpwstr>
  </property>
</Properties>
</file>