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ascii="楷体_GB2312" w:eastAsia="楷体_GB2312"/>
          <w:b/>
          <w:bCs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kern w:val="0"/>
          <w:sz w:val="44"/>
          <w:szCs w:val="44"/>
        </w:rPr>
        <w:t>郑州市</w:t>
      </w:r>
      <w:r>
        <w:rPr>
          <w:rFonts w:hint="eastAsia" w:ascii="方正小标宋简体" w:eastAsia="方正小标宋简体"/>
          <w:bCs/>
          <w:sz w:val="44"/>
          <w:szCs w:val="44"/>
        </w:rPr>
        <w:t>惠济区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eastAsia="方正小标宋简体"/>
          <w:bCs/>
          <w:sz w:val="44"/>
          <w:szCs w:val="44"/>
        </w:rPr>
        <w:t>年预算公开情况说明</w:t>
      </w:r>
    </w:p>
    <w:p>
      <w:pPr>
        <w:tabs>
          <w:tab w:val="center" w:pos="4422"/>
        </w:tabs>
        <w:spacing w:line="570" w:lineRule="exact"/>
        <w:rPr>
          <w:rFonts w:hint="eastAsia" w:ascii="仿宋_GB2312"/>
        </w:rPr>
      </w:pPr>
    </w:p>
    <w:p>
      <w:pPr>
        <w:spacing w:line="570" w:lineRule="exact"/>
        <w:ind w:firstLine="643" w:firstLineChars="200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  <w:lang w:val="en-US" w:eastAsia="zh-CN"/>
        </w:rPr>
        <w:t>一</w:t>
      </w:r>
      <w:r>
        <w:rPr>
          <w:rFonts w:hint="eastAsia" w:ascii="楷体_GB2312" w:eastAsia="楷体_GB2312"/>
          <w:b/>
        </w:rPr>
        <w:t>、</w:t>
      </w:r>
      <w:r>
        <w:rPr>
          <w:rFonts w:hint="eastAsia" w:ascii="楷体_GB2312" w:eastAsia="楷体_GB2312"/>
          <w:b/>
          <w:lang w:val="en-US" w:eastAsia="zh-CN"/>
        </w:rPr>
        <w:t>一般公共预算收入</w:t>
      </w:r>
      <w:r>
        <w:rPr>
          <w:rFonts w:hint="eastAsia" w:ascii="楷体_GB2312" w:eastAsia="楷体_GB2312"/>
          <w:b/>
        </w:rPr>
        <w:t>安排情况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同比增长3％</w:t>
      </w:r>
      <w:r>
        <w:rPr>
          <w:rFonts w:hint="eastAsia" w:ascii="仿宋_GB2312" w:hAnsi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的目标要求，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2023年一般公共财政预算收入</w:t>
      </w:r>
      <w:r>
        <w:rPr>
          <w:rFonts w:hint="eastAsia" w:ascii="仿宋_GB2312" w:hAnsi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为268269万元。具体收入项目是：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1.增值税安排74209万元，同比增长13.82％；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2.企业所得税安排39611万元，同比增长14.78％；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3.个人所得税安排8539万元，同比增长11.55％；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4.资源税安排14600万元，同比增长5.57％；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5.城市维护建设税安排9960万元，同比增长13.32％；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6.房产税安排11137万元，同比增长7.92％；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7.印花税安排3490万元，同比增长3.87％；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8.城镇土地使用税安排8468万元，同比增长13.57％；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9.土地增值税安排35075万元，同比增长3.24％；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10.车船税安排135万元，同比增长9.76％；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11.耕地占用税安排3200万元，同比增长6.42％；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12.契税安排34464万元，同比增长5.5%；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13.环境保护税安排75万元，同比增长7.14％；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14.专项收入安排6300万元，同比</w:t>
      </w:r>
      <w:r>
        <w:rPr>
          <w:rFonts w:hint="eastAsia" w:ascii="仿宋_GB2312" w:hAnsi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6.40％；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15.行政事业性收费收入安排3900万元,同比</w:t>
      </w:r>
      <w:r>
        <w:rPr>
          <w:rFonts w:hint="eastAsia" w:ascii="仿宋_GB2312" w:hAnsi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4.98％;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16.罚没收入安排1500万元，同比增长14.24％；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17.国有资源（资产）有偿使用收入安排12000万元，同比下降53.74％;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 xml:space="preserve">18.其他收入安排1606万元，同比下降38.35％。 </w:t>
      </w:r>
    </w:p>
    <w:p>
      <w:pPr>
        <w:spacing w:line="57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_GB2312" w:eastAsia="楷体_GB2312"/>
          <w:b/>
          <w:lang w:val="en-US" w:eastAsia="zh-CN"/>
        </w:rPr>
        <w:t>二</w:t>
      </w:r>
      <w:r>
        <w:rPr>
          <w:rFonts w:hint="eastAsia" w:ascii="楷体_GB2312" w:eastAsia="楷体_GB2312"/>
          <w:b/>
        </w:rPr>
        <w:t>、</w:t>
      </w:r>
      <w:r>
        <w:rPr>
          <w:rFonts w:hint="eastAsia" w:ascii="楷体_GB2312" w:eastAsia="楷体_GB2312"/>
          <w:b/>
          <w:lang w:val="en-US" w:eastAsia="zh-CN"/>
        </w:rPr>
        <w:t>一般公共预算支出</w:t>
      </w:r>
      <w:r>
        <w:rPr>
          <w:rFonts w:hint="eastAsia" w:ascii="楷体_GB2312" w:eastAsia="楷体_GB2312"/>
          <w:b/>
        </w:rPr>
        <w:t>安排情况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2023年一般公共预算收入268269万元，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新的财政体制，需上解213810万元，加上上级补助收入、上级项目追加和上年结转项目资金后，当年可用财力为90689万元，从其他资金预调入一般公共预算1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61511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万元，实际可动用财力为2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52200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万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元。2023年一般公共预算支出安排为2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52200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万元，同比2022年预算支出增长1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％。2023年主要支出项目是： 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1.一般公共服务支出安排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45335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27579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2317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15439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2.国防支出安排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480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358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3.公共安全支出安排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1553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868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611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4.教育支出安排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82972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62653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万元，公用及运转经费(含学生平均经费）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2180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18139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5.科学技术支出安排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254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6.文化旅游体育与传媒支出安排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1095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752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310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7.社会保障和就业支出安排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32083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5253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143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16687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8.卫生健康支出安排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26075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10205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15744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9.节能环保支出安排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1200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194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996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10.城乡社区支出安排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22912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5342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251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17319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11.农林水支出安排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11044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2596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8323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12.交通运输支出安排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1252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972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239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13.资源勘探工业信息等支出安排37万元。其中：专项经费37万元。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default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14.金融支出安排12万元。其中：专项经费12万元。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.自然资源海洋气象等支出安排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1517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412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.住房保障支出安排1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0528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10528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.灾害防治及应急管理支出安排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918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万元。其中：人员经费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746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万元，公用及运转经费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4万元，专项经费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138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万元；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 xml:space="preserve">.预备费支出安排3133万元； </w:t>
      </w:r>
    </w:p>
    <w:p>
      <w:pPr>
        <w:pStyle w:val="13"/>
        <w:widowControl w:val="0"/>
        <w:wordWrap/>
        <w:adjustRightInd/>
        <w:snapToGrid/>
        <w:spacing w:before="0" w:beforeLines="0" w:beforeAutospacing="0" w:after="0" w:afterLines="0" w:afterAutospacing="0" w:line="570" w:lineRule="exact"/>
        <w:ind w:left="0" w:right="0" w:firstLine="64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1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.债务付息支出安排9</w:t>
      </w:r>
      <w:r>
        <w:rPr>
          <w:rFonts w:hint="eastAsia" w:ascii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800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万元。</w:t>
      </w:r>
    </w:p>
    <w:p>
      <w:pPr>
        <w:spacing w:line="570" w:lineRule="exact"/>
        <w:ind w:firstLine="643" w:firstLineChars="200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三、“三公”经费预算安排情况 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23</w:t>
      </w:r>
      <w:r>
        <w:rPr>
          <w:rFonts w:hint="eastAsia" w:ascii="仿宋" w:hAnsi="仿宋" w:eastAsia="仿宋" w:cs="仿宋"/>
        </w:rPr>
        <w:t>年惠济区“三公”经费预算安排</w:t>
      </w:r>
      <w:r>
        <w:rPr>
          <w:rFonts w:hint="eastAsia" w:ascii="仿宋" w:hAnsi="仿宋" w:eastAsia="仿宋" w:cs="仿宋"/>
          <w:lang w:val="en-US" w:eastAsia="zh-CN"/>
        </w:rPr>
        <w:t>167</w:t>
      </w:r>
      <w:r>
        <w:rPr>
          <w:rFonts w:hint="eastAsia" w:ascii="仿宋" w:hAnsi="仿宋" w:eastAsia="仿宋" w:cs="仿宋"/>
        </w:rPr>
        <w:t>万元，其中：公务用车运行维护费及购置费安排</w:t>
      </w:r>
      <w:r>
        <w:rPr>
          <w:rFonts w:hint="eastAsia" w:ascii="仿宋" w:hAnsi="仿宋" w:eastAsia="仿宋" w:cs="仿宋"/>
          <w:lang w:val="en-US" w:eastAsia="zh-CN"/>
        </w:rPr>
        <w:t>150</w:t>
      </w:r>
      <w:r>
        <w:rPr>
          <w:rFonts w:hint="eastAsia" w:ascii="仿宋" w:hAnsi="仿宋" w:eastAsia="仿宋" w:cs="仿宋"/>
        </w:rPr>
        <w:t>万元；公务接待费安排</w:t>
      </w:r>
      <w:r>
        <w:rPr>
          <w:rFonts w:hint="eastAsia" w:ascii="仿宋" w:hAnsi="仿宋" w:eastAsia="仿宋" w:cs="仿宋"/>
          <w:lang w:val="en-US" w:eastAsia="zh-CN"/>
        </w:rPr>
        <w:t>17</w:t>
      </w:r>
      <w:r>
        <w:rPr>
          <w:rFonts w:hint="eastAsia" w:ascii="仿宋" w:hAnsi="仿宋" w:eastAsia="仿宋" w:cs="仿宋"/>
        </w:rPr>
        <w:t>万元。</w:t>
      </w:r>
      <w:r>
        <w:rPr>
          <w:rFonts w:hint="eastAsia" w:ascii="宋体" w:hAnsi="宋体" w:eastAsia="宋体" w:cs="宋体"/>
        </w:rPr>
        <w:t> </w:t>
      </w:r>
    </w:p>
    <w:p>
      <w:pPr>
        <w:spacing w:line="570" w:lineRule="exact"/>
        <w:ind w:firstLine="643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</w:rPr>
        <w:t>四、转移支付</w:t>
      </w:r>
      <w:r>
        <w:rPr>
          <w:rFonts w:hint="eastAsia" w:ascii="楷体_GB2312" w:eastAsia="楷体_GB2312"/>
          <w:b/>
          <w:lang w:eastAsia="zh-CN"/>
        </w:rPr>
        <w:t>和</w:t>
      </w:r>
      <w:r>
        <w:rPr>
          <w:rFonts w:hint="eastAsia" w:ascii="楷体_GB2312" w:eastAsia="楷体_GB2312"/>
          <w:b/>
        </w:rPr>
        <w:t>税收返还情况说明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</w:rPr>
        <w:t>年我区</w:t>
      </w:r>
      <w:r>
        <w:rPr>
          <w:rFonts w:hint="eastAsia" w:ascii="仿宋" w:hAnsi="仿宋" w:eastAsia="仿宋" w:cs="仿宋"/>
          <w:color w:val="auto"/>
          <w:lang w:eastAsia="zh-CN"/>
        </w:rPr>
        <w:t>上级补助收入</w:t>
      </w:r>
      <w:r>
        <w:rPr>
          <w:rFonts w:hint="eastAsia" w:ascii="仿宋" w:hAnsi="仿宋" w:eastAsia="仿宋" w:cs="仿宋"/>
          <w:color w:val="auto"/>
        </w:rPr>
        <w:t>共计</w:t>
      </w:r>
      <w:r>
        <w:rPr>
          <w:rFonts w:hint="eastAsia" w:ascii="仿宋" w:hAnsi="仿宋" w:eastAsia="仿宋" w:cs="仿宋"/>
          <w:color w:val="auto"/>
          <w:lang w:val="en-US" w:eastAsia="zh-CN"/>
        </w:rPr>
        <w:t>42426</w:t>
      </w:r>
      <w:r>
        <w:rPr>
          <w:rFonts w:hint="eastAsia" w:ascii="仿宋" w:hAnsi="仿宋" w:eastAsia="仿宋" w:cs="仿宋"/>
          <w:color w:val="auto"/>
        </w:rPr>
        <w:t>万元，其中一般性转移支付</w:t>
      </w:r>
      <w:r>
        <w:rPr>
          <w:rFonts w:hint="eastAsia" w:ascii="仿宋" w:hAnsi="仿宋" w:eastAsia="仿宋" w:cs="仿宋"/>
          <w:color w:val="auto"/>
          <w:lang w:val="en-US" w:eastAsia="zh-CN"/>
        </w:rPr>
        <w:t>30285</w:t>
      </w:r>
      <w:r>
        <w:rPr>
          <w:rFonts w:hint="eastAsia" w:ascii="仿宋" w:hAnsi="仿宋" w:eastAsia="仿宋" w:cs="仿宋"/>
          <w:color w:val="auto"/>
        </w:rPr>
        <w:t>万元，专项转移支付</w:t>
      </w:r>
      <w:r>
        <w:rPr>
          <w:rFonts w:hint="eastAsia" w:ascii="仿宋" w:hAnsi="仿宋" w:eastAsia="仿宋" w:cs="仿宋"/>
          <w:color w:val="auto"/>
          <w:lang w:val="en-US" w:eastAsia="zh-CN"/>
        </w:rPr>
        <w:t>155</w:t>
      </w:r>
      <w:r>
        <w:rPr>
          <w:rFonts w:hint="eastAsia" w:ascii="仿宋" w:hAnsi="仿宋" w:eastAsia="仿宋" w:cs="仿宋"/>
          <w:color w:val="auto"/>
        </w:rPr>
        <w:t>万元</w:t>
      </w:r>
      <w:r>
        <w:rPr>
          <w:rFonts w:hint="eastAsia" w:ascii="仿宋" w:hAnsi="仿宋" w:eastAsia="仿宋" w:cs="仿宋"/>
          <w:color w:va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</w:rPr>
        <w:t>税收返还收入11986万元。</w:t>
      </w:r>
    </w:p>
    <w:p>
      <w:pPr>
        <w:spacing w:line="570" w:lineRule="exact"/>
        <w:ind w:firstLine="643" w:firstLineChars="200"/>
        <w:rPr>
          <w:rFonts w:hint="eastAsia" w:ascii="楷体_GB2312" w:eastAsia="楷体_GB2312"/>
          <w:b/>
        </w:rPr>
      </w:pPr>
      <w:r>
        <w:rPr>
          <w:rFonts w:hint="eastAsia" w:ascii="楷体_GB2312" w:eastAsia="楷体_GB2312"/>
          <w:b/>
          <w:lang w:eastAsia="zh-CN"/>
        </w:rPr>
        <w:t>五</w:t>
      </w:r>
      <w:r>
        <w:rPr>
          <w:rFonts w:hint="eastAsia" w:ascii="楷体_GB2312" w:eastAsia="楷体_GB2312"/>
          <w:b/>
        </w:rPr>
        <w:t>、债务支出说明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</w:rPr>
        <w:t>年我区</w:t>
      </w:r>
      <w:r>
        <w:rPr>
          <w:rFonts w:hint="eastAsia" w:ascii="仿宋" w:hAnsi="仿宋" w:eastAsia="仿宋" w:cs="仿宋"/>
          <w:color w:val="auto"/>
          <w:lang w:val="en-US" w:eastAsia="zh-CN"/>
        </w:rPr>
        <w:t>一般债券利息预算数9465万元</w:t>
      </w:r>
      <w:r>
        <w:rPr>
          <w:rFonts w:hint="eastAsia" w:ascii="仿宋" w:hAnsi="仿宋" w:eastAsia="仿宋" w:cs="仿宋"/>
          <w:color w:val="auto"/>
        </w:rPr>
        <w:t>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重大政策和重点项目等绩效目标情况说明</w:t>
      </w:r>
    </w:p>
    <w:p>
      <w:pPr>
        <w:widowControl/>
        <w:spacing w:line="360" w:lineRule="auto"/>
        <w:ind w:firstLine="64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本年度无此项业务开展。</w:t>
      </w:r>
      <w:bookmarkStart w:id="0" w:name="_GoBack"/>
      <w:bookmarkEnd w:id="0"/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预算调整报告及报表说明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无调整预算。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随同调整预算公开当年本地区及本级地方政府债务限额、本级新增地方政府债券资金使用安排等情况说明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无随同调整预算公开当年本地区及本级地方政府债务限额，无新增地方债券。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eastAsia="zh-CN"/>
        </w:rPr>
        <w:t>扶贫资金公开说明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无扶贫资金。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政府性基金预算的公开说明</w:t>
      </w:r>
    </w:p>
    <w:p>
      <w:pPr>
        <w:widowControl/>
        <w:spacing w:line="360" w:lineRule="auto"/>
        <w:ind w:firstLine="64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2023年政府性基金预算上年结余收入100248万元，政府性基金支出100248万元。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国有资本经营预算的公开说明</w:t>
      </w:r>
    </w:p>
    <w:p>
      <w:pPr>
        <w:pStyle w:val="2"/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无国有资本经营预算。</w:t>
      </w:r>
    </w:p>
    <w:p>
      <w:pPr>
        <w:numPr>
          <w:ilvl w:val="0"/>
          <w:numId w:val="1"/>
        </w:numPr>
        <w:spacing w:line="570" w:lineRule="exact"/>
        <w:ind w:left="317" w:leftChars="0" w:firstLine="643" w:firstLineChars="0"/>
        <w:rPr>
          <w:rFonts w:hint="eastAsia" w:ascii="楷体_GB2312" w:eastAsia="楷体_GB2312"/>
          <w:b/>
          <w:lang w:eastAsia="zh-CN"/>
        </w:rPr>
      </w:pPr>
      <w:r>
        <w:rPr>
          <w:rFonts w:hint="eastAsia" w:ascii="楷体_GB2312" w:eastAsia="楷体_GB2312"/>
          <w:b/>
          <w:lang w:val="en-US" w:eastAsia="zh-CN"/>
        </w:rPr>
        <w:t>、社会保险基金预算的</w:t>
      </w:r>
      <w:r>
        <w:rPr>
          <w:rFonts w:hint="eastAsia" w:ascii="楷体_GB2312" w:eastAsia="楷体_GB2312"/>
          <w:b/>
          <w:lang w:eastAsia="zh-CN"/>
        </w:rPr>
        <w:t>公开说明</w:t>
      </w:r>
    </w:p>
    <w:p>
      <w:pPr>
        <w:widowControl/>
        <w:spacing w:line="360" w:lineRule="auto"/>
        <w:ind w:firstLine="64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无社会保险基金预算。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line="570" w:lineRule="exact"/>
        <w:ind w:leftChars="200"/>
        <w:rPr>
          <w:rFonts w:hint="eastAsia" w:ascii="楷体_GB2312" w:eastAsia="楷体_GB2312"/>
          <w:b/>
          <w:lang w:eastAsia="zh-CN"/>
        </w:rPr>
      </w:pPr>
    </w:p>
    <w:p>
      <w:pPr>
        <w:spacing w:line="570" w:lineRule="exact"/>
        <w:ind w:right="160" w:rightChars="50" w:firstLine="640" w:firstLineChars="200"/>
        <w:rPr>
          <w:rFonts w:hint="eastAsia" w:ascii="仿宋_GB2312"/>
          <w:bCs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851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99" w:wrap="around" w:vAnchor="text" w:hAnchor="page" w:x="5909" w:y="3"/>
      <w:rPr>
        <w:rStyle w:val="11"/>
        <w:rFonts w:hint="eastAsia" w:ascii="仿宋_GB2312"/>
        <w:sz w:val="28"/>
        <w:szCs w:val="28"/>
      </w:rPr>
    </w:pPr>
    <w:r>
      <w:rPr>
        <w:rStyle w:val="11"/>
        <w:rFonts w:hint="eastAsia" w:ascii="仿宋_GB2312"/>
        <w:sz w:val="28"/>
        <w:szCs w:val="28"/>
      </w:rPr>
      <w:t>—</w:t>
    </w:r>
    <w:r>
      <w:rPr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5</w:t>
    </w:r>
    <w:r>
      <w:rPr>
        <w:rFonts w:hint="eastAsia" w:ascii="仿宋_GB2312"/>
        <w:sz w:val="28"/>
        <w:szCs w:val="28"/>
      </w:rPr>
      <w:fldChar w:fldCharType="end"/>
    </w:r>
    <w:r>
      <w:rPr>
        <w:rStyle w:val="11"/>
        <w:rFonts w:hint="eastAsia" w:ascii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6"/>
      <w:numFmt w:val="chineseCounting"/>
      <w:suff w:val="nothing"/>
      <w:lvlText w:val="%1、"/>
      <w:lvlJc w:val="left"/>
      <w:pPr>
        <w:ind w:left="31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2D3C"/>
    <w:rsid w:val="20D73F0A"/>
    <w:rsid w:val="2AD27C35"/>
    <w:rsid w:val="2E7651F1"/>
    <w:rsid w:val="33F25113"/>
    <w:rsid w:val="4F5426C0"/>
    <w:rsid w:val="58002537"/>
    <w:rsid w:val="69A75675"/>
    <w:rsid w:val="69C61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宋体"/>
      <w:sz w:val="21"/>
      <w:szCs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styleId="9">
    <w:name w:val="page number"/>
    <w:basedOn w:val="7"/>
    <w:qFormat/>
    <w:uiPriority w:val="0"/>
    <w:rPr>
      <w:rFonts w:ascii="Calibri" w:hAnsi="Calibri" w:eastAsia="宋体" w:cs="Times New Roman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page number"/>
    <w:basedOn w:val="7"/>
    <w:qFormat/>
    <w:uiPriority w:val="0"/>
  </w:style>
  <w:style w:type="character" w:customStyle="1" w:styleId="12">
    <w:name w:val="页码1"/>
    <w:basedOn w:val="7"/>
    <w:qFormat/>
    <w:uiPriority w:val="0"/>
  </w:style>
  <w:style w:type="paragraph" w:customStyle="1" w:styleId="1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2019-04-03T01:13:00Z</dcterms:created>
  <dc:creator>miss-cat秦大好人</dc:creator>
  <cp:lastModifiedBy>Fantasy</cp:lastModifiedBy>
  <dcterms:modified xsi:type="dcterms:W3CDTF">2023-06-26T08:58:03Z</dcterms:modified>
  <dc:title>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F9AA70ACE5B2466E92B200EE3A6E74CE</vt:lpwstr>
  </property>
</Properties>
</file>