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b/>
          <w:sz w:val="52"/>
          <w:szCs w:val="52"/>
        </w:rPr>
      </w:pPr>
      <w:bookmarkStart w:id="0" w:name="_GoBack"/>
      <w:r>
        <w:rPr>
          <w:rFonts w:hint="eastAsia" w:ascii="宋体" w:hAnsi="宋体" w:eastAsia="宋体"/>
          <w:b/>
          <w:sz w:val="52"/>
          <w:szCs w:val="52"/>
        </w:rPr>
        <w:t>环保备案公示</w:t>
      </w:r>
      <w:r>
        <w:rPr>
          <w:rFonts w:hint="eastAsia" w:ascii="宋体" w:hAnsi="宋体" w:eastAsia="宋体"/>
          <w:b/>
          <w:sz w:val="52"/>
          <w:szCs w:val="52"/>
          <w:lang w:val="en-US" w:eastAsia="zh-CN"/>
        </w:rPr>
        <w:t>-6</w:t>
      </w:r>
    </w:p>
    <w:bookmarkEnd w:id="0"/>
    <w:p>
      <w:pPr>
        <w:spacing w:line="220" w:lineRule="atLeast"/>
        <w:ind w:firstLine="570"/>
        <w:rPr>
          <w:rFonts w:ascii="宋体" w:hAnsi="宋体" w:eastAsia="宋体"/>
          <w:sz w:val="28"/>
          <w:szCs w:val="28"/>
        </w:rPr>
      </w:pPr>
      <w:r>
        <w:rPr>
          <w:rFonts w:hint="eastAsia" w:ascii="宋体" w:hAnsi="宋体" w:eastAsia="宋体"/>
          <w:sz w:val="28"/>
          <w:szCs w:val="28"/>
        </w:rPr>
        <w:t>按照《河南省人民政府办公厅关于清理整改环保违法违规建设项目的通知》（豫政办明电[2016]33号）和《河南省环境保护委员会办公室关于做好清理整改环保违法违规建设项目的实施意见》（豫环委办[2016]22号）要求，</w:t>
      </w:r>
      <w:r>
        <w:rPr>
          <w:rFonts w:hint="eastAsia" w:ascii="宋体" w:hAnsi="宋体" w:eastAsia="宋体"/>
          <w:sz w:val="28"/>
          <w:szCs w:val="28"/>
          <w:lang w:val="en-US" w:eastAsia="zh-CN"/>
        </w:rPr>
        <w:t>经</w:t>
      </w:r>
      <w:r>
        <w:rPr>
          <w:rFonts w:hint="eastAsia" w:ascii="宋体" w:hAnsi="宋体" w:eastAsia="宋体"/>
          <w:sz w:val="28"/>
          <w:szCs w:val="28"/>
          <w:lang w:eastAsia="zh-CN"/>
        </w:rPr>
        <w:t>惠济</w:t>
      </w:r>
      <w:r>
        <w:rPr>
          <w:rFonts w:hint="eastAsia" w:ascii="宋体" w:hAnsi="宋体" w:eastAsia="宋体"/>
          <w:sz w:val="28"/>
          <w:szCs w:val="28"/>
        </w:rPr>
        <w:t>区环保局集体讨论决定，</w:t>
      </w:r>
      <w:r>
        <w:rPr>
          <w:rFonts w:hint="eastAsia" w:ascii="宋体" w:hAnsi="宋体" w:eastAsia="宋体"/>
          <w:sz w:val="28"/>
          <w:szCs w:val="28"/>
          <w:lang w:val="en-US" w:eastAsia="zh-CN"/>
        </w:rPr>
        <w:t>对12家环保违法违规建设项目</w:t>
      </w:r>
      <w:r>
        <w:rPr>
          <w:rFonts w:hint="eastAsia" w:ascii="宋体" w:hAnsi="宋体" w:eastAsia="宋体"/>
          <w:sz w:val="28"/>
          <w:szCs w:val="28"/>
        </w:rPr>
        <w:t>进行</w:t>
      </w:r>
      <w:r>
        <w:rPr>
          <w:rFonts w:hint="eastAsia" w:ascii="宋体" w:hAnsi="宋体" w:eastAsia="宋体"/>
          <w:sz w:val="28"/>
          <w:szCs w:val="28"/>
          <w:lang w:eastAsia="zh-CN"/>
        </w:rPr>
        <w:t>环保备案</w:t>
      </w:r>
      <w:r>
        <w:rPr>
          <w:rFonts w:hint="eastAsia" w:ascii="宋体" w:hAnsi="宋体" w:eastAsia="宋体"/>
          <w:sz w:val="28"/>
          <w:szCs w:val="28"/>
        </w:rPr>
        <w:t>公示，公示期为：2016年</w:t>
      </w:r>
      <w:r>
        <w:rPr>
          <w:rFonts w:hint="eastAsia" w:ascii="宋体" w:hAnsi="宋体" w:eastAsia="宋体"/>
          <w:sz w:val="28"/>
          <w:szCs w:val="28"/>
          <w:lang w:val="en-US" w:eastAsia="zh-CN"/>
        </w:rPr>
        <w:t>12</w:t>
      </w:r>
      <w:r>
        <w:rPr>
          <w:rFonts w:hint="eastAsia" w:ascii="宋体" w:hAnsi="宋体" w:eastAsia="宋体"/>
          <w:sz w:val="28"/>
          <w:szCs w:val="28"/>
        </w:rPr>
        <w:t>月</w:t>
      </w:r>
      <w:r>
        <w:rPr>
          <w:rFonts w:hint="eastAsia" w:ascii="宋体" w:hAnsi="宋体" w:eastAsia="宋体"/>
          <w:sz w:val="28"/>
          <w:szCs w:val="28"/>
          <w:lang w:val="en-US" w:eastAsia="zh-CN"/>
        </w:rPr>
        <w:t>3</w:t>
      </w:r>
      <w:r>
        <w:rPr>
          <w:rFonts w:hint="eastAsia" w:ascii="宋体" w:hAnsi="宋体" w:eastAsia="宋体"/>
          <w:sz w:val="28"/>
          <w:szCs w:val="28"/>
        </w:rPr>
        <w:t>日至2016年1</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8</w:t>
      </w:r>
      <w:r>
        <w:rPr>
          <w:rFonts w:hint="eastAsia" w:ascii="宋体" w:hAnsi="宋体" w:eastAsia="宋体"/>
          <w:sz w:val="28"/>
          <w:szCs w:val="28"/>
        </w:rPr>
        <w:t>日，如有异议，请自本公示发布之日起五日内反馈我局行政审批服务科处。联系电话：</w:t>
      </w:r>
      <w:r>
        <w:rPr>
          <w:rFonts w:hint="eastAsia" w:ascii="宋体" w:hAnsi="宋体" w:eastAsia="宋体"/>
          <w:sz w:val="28"/>
          <w:szCs w:val="28"/>
          <w:lang w:val="en-US" w:eastAsia="zh-CN"/>
        </w:rPr>
        <w:t>63639985</w:t>
      </w:r>
      <w:r>
        <w:rPr>
          <w:rFonts w:hint="eastAsia" w:ascii="宋体" w:hAnsi="宋体" w:eastAsia="宋体"/>
          <w:sz w:val="28"/>
          <w:szCs w:val="28"/>
        </w:rPr>
        <w:t>。</w:t>
      </w:r>
    </w:p>
    <w:tbl>
      <w:tblPr>
        <w:tblStyle w:val="3"/>
        <w:tblpPr w:leftFromText="180" w:rightFromText="180" w:vertAnchor="text" w:horzAnchor="margin" w:tblpXSpec="center" w:tblpY="56"/>
        <w:tblW w:w="14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681"/>
        <w:gridCol w:w="1711"/>
        <w:gridCol w:w="1622"/>
        <w:gridCol w:w="1522"/>
        <w:gridCol w:w="4432"/>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b/>
                <w:bCs/>
                <w:kern w:val="0"/>
                <w:szCs w:val="21"/>
              </w:rPr>
            </w:pPr>
            <w:r>
              <w:rPr>
                <w:rFonts w:hAnsi="宋体"/>
                <w:b/>
                <w:bCs/>
                <w:kern w:val="0"/>
                <w:szCs w:val="21"/>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b/>
                <w:bCs/>
                <w:kern w:val="0"/>
                <w:szCs w:val="21"/>
              </w:rPr>
            </w:pPr>
            <w:r>
              <w:rPr>
                <w:rFonts w:hAnsi="宋体"/>
                <w:b/>
                <w:bCs/>
                <w:kern w:val="0"/>
                <w:szCs w:val="21"/>
              </w:rPr>
              <w:t>项目名称</w:t>
            </w: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b/>
                <w:bCs/>
                <w:kern w:val="0"/>
                <w:szCs w:val="21"/>
              </w:rPr>
            </w:pPr>
            <w:r>
              <w:rPr>
                <w:rFonts w:hAnsi="宋体"/>
                <w:b/>
                <w:bCs/>
                <w:kern w:val="0"/>
                <w:szCs w:val="21"/>
              </w:rPr>
              <w:t>建设单位</w:t>
            </w:r>
          </w:p>
        </w:tc>
        <w:tc>
          <w:tcPr>
            <w:tcW w:w="1622" w:type="dxa"/>
            <w:tcBorders>
              <w:top w:val="single" w:color="auto" w:sz="4" w:space="0"/>
              <w:left w:val="single" w:color="auto" w:sz="4" w:space="0"/>
              <w:bottom w:val="single" w:color="auto" w:sz="4" w:space="0"/>
              <w:right w:val="single" w:color="auto" w:sz="4" w:space="0"/>
            </w:tcBorders>
            <w:vAlign w:val="center"/>
          </w:tcPr>
          <w:p>
            <w:pPr>
              <w:jc w:val="center"/>
              <w:rPr>
                <w:b/>
                <w:bCs/>
                <w:kern w:val="0"/>
                <w:szCs w:val="21"/>
              </w:rPr>
            </w:pPr>
            <w:r>
              <w:rPr>
                <w:rFonts w:hAnsi="宋体"/>
                <w:b/>
                <w:bCs/>
                <w:kern w:val="0"/>
                <w:szCs w:val="21"/>
              </w:rPr>
              <w:t>建设地点</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b/>
                <w:bCs/>
                <w:kern w:val="0"/>
                <w:szCs w:val="21"/>
              </w:rPr>
            </w:pPr>
            <w:r>
              <w:rPr>
                <w:rFonts w:hAnsi="宋体"/>
                <w:b/>
                <w:bCs/>
                <w:kern w:val="0"/>
                <w:szCs w:val="21"/>
              </w:rPr>
              <w:t>建设内容</w:t>
            </w:r>
          </w:p>
        </w:tc>
        <w:tc>
          <w:tcPr>
            <w:tcW w:w="4432" w:type="dxa"/>
            <w:tcBorders>
              <w:top w:val="single" w:color="auto" w:sz="4" w:space="0"/>
              <w:left w:val="single" w:color="auto" w:sz="4" w:space="0"/>
              <w:bottom w:val="single" w:color="auto" w:sz="4" w:space="0"/>
              <w:right w:val="single" w:color="auto" w:sz="4" w:space="0"/>
            </w:tcBorders>
            <w:vAlign w:val="center"/>
          </w:tcPr>
          <w:p>
            <w:pPr>
              <w:jc w:val="center"/>
              <w:rPr>
                <w:b/>
                <w:bCs/>
                <w:kern w:val="0"/>
                <w:szCs w:val="21"/>
              </w:rPr>
            </w:pPr>
            <w:r>
              <w:rPr>
                <w:rFonts w:hAnsi="宋体"/>
                <w:b/>
                <w:bCs/>
                <w:kern w:val="0"/>
                <w:szCs w:val="21"/>
              </w:rPr>
              <w:t>污染治理设施情况</w:t>
            </w:r>
          </w:p>
        </w:tc>
        <w:tc>
          <w:tcPr>
            <w:tcW w:w="2486" w:type="dxa"/>
            <w:tcBorders>
              <w:top w:val="single" w:color="auto" w:sz="4" w:space="0"/>
              <w:left w:val="single" w:color="auto" w:sz="4" w:space="0"/>
              <w:bottom w:val="single" w:color="auto" w:sz="4" w:space="0"/>
              <w:right w:val="single" w:color="auto" w:sz="4" w:space="0"/>
            </w:tcBorders>
            <w:vAlign w:val="center"/>
          </w:tcPr>
          <w:p>
            <w:pPr>
              <w:jc w:val="center"/>
              <w:rPr>
                <w:b/>
                <w:bCs/>
                <w:kern w:val="0"/>
                <w:szCs w:val="21"/>
              </w:rPr>
            </w:pPr>
            <w:r>
              <w:rPr>
                <w:rFonts w:hAnsi="宋体"/>
                <w:b/>
                <w:bCs/>
                <w:kern w:val="0"/>
                <w:szCs w:val="21"/>
              </w:rPr>
              <w:t>污染物稳定达标情况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4"/>
                <w:szCs w:val="24"/>
                <w:u w:val="none"/>
                <w:lang w:val="en-US" w:eastAsia="zh-CN" w:bidi="ar"/>
              </w:rPr>
              <w:t>1</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银河洗浴</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银河洗浴</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刘寨</w:t>
            </w:r>
          </w:p>
        </w:tc>
        <w:tc>
          <w:tcPr>
            <w:tcW w:w="152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洗浴</w:t>
            </w:r>
          </w:p>
        </w:tc>
        <w:tc>
          <w:tcPr>
            <w:tcW w:w="4432" w:type="dxa"/>
            <w:tcBorders>
              <w:top w:val="single" w:color="auto" w:sz="4" w:space="0"/>
              <w:left w:val="single" w:color="auto" w:sz="4" w:space="0"/>
              <w:bottom w:val="single" w:color="auto" w:sz="4" w:space="0"/>
              <w:right w:val="single" w:color="auto" w:sz="4" w:space="0"/>
            </w:tcBorders>
            <w:textDirection w:val="lrTb"/>
            <w:vAlign w:val="center"/>
          </w:tcPr>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1.废水：主要为生活污水，经</w:t>
            </w:r>
            <w:r>
              <w:rPr>
                <w:rFonts w:hint="eastAsia" w:ascii="仿宋_GB2312" w:hAnsi="仿宋_GB2312" w:eastAsia="仿宋_GB2312" w:cs="仿宋_GB2312"/>
                <w:b w:val="0"/>
                <w:bCs w:val="0"/>
                <w:color w:val="auto"/>
                <w:szCs w:val="21"/>
                <w:lang w:eastAsia="zh-CN"/>
              </w:rPr>
              <w:t>化粪池</w:t>
            </w:r>
            <w:r>
              <w:rPr>
                <w:rFonts w:hint="eastAsia" w:ascii="仿宋_GB2312" w:hAnsi="仿宋_GB2312" w:eastAsia="仿宋_GB2312" w:cs="仿宋_GB2312"/>
                <w:b w:val="0"/>
                <w:bCs w:val="0"/>
                <w:color w:val="auto"/>
                <w:szCs w:val="21"/>
              </w:rPr>
              <w:t>处理后排入市政污水管网</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2.废气：油烟废气经油烟净化装置处理后排出</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3.固废：有环卫工人收集统一处理</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4.噪声：距离，房屋隔音后衰减，对居民影响较小</w:t>
            </w:r>
          </w:p>
        </w:tc>
        <w:tc>
          <w:tcPr>
            <w:tcW w:w="2486"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0"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4"/>
                <w:szCs w:val="24"/>
                <w:u w:val="none"/>
                <w:lang w:val="en-US" w:eastAsia="zh-CN" w:bidi="ar"/>
              </w:rPr>
              <w:t>2</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种植</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2"/>
                <w:szCs w:val="22"/>
                <w:u w:val="none"/>
                <w:lang w:val="en-US" w:eastAsia="zh-CN" w:bidi="ar"/>
              </w:rPr>
              <w:t>黄河金岸</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田园路与惠源路交汇处</w:t>
            </w:r>
          </w:p>
        </w:tc>
        <w:tc>
          <w:tcPr>
            <w:tcW w:w="15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eastAsia="zh-CN"/>
              </w:rPr>
              <w:t>种植</w:t>
            </w:r>
          </w:p>
        </w:tc>
        <w:tc>
          <w:tcPr>
            <w:tcW w:w="4432"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eastAsia="zh-CN"/>
              </w:rPr>
              <w:t>豁免</w:t>
            </w:r>
          </w:p>
        </w:tc>
        <w:tc>
          <w:tcPr>
            <w:tcW w:w="2486"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4"/>
                <w:szCs w:val="24"/>
                <w:u w:val="none"/>
                <w:lang w:val="en-US" w:eastAsia="zh-CN" w:bidi="ar"/>
              </w:rPr>
              <w:t>3</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0"/>
                <w:szCs w:val="20"/>
                <w:u w:val="none"/>
                <w:lang w:val="en-US" w:eastAsia="zh-CN" w:bidi="ar"/>
              </w:rPr>
              <w:t>子非鱼食品厂</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子非鱼食品厂</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北四环北</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食品加工</w:t>
            </w:r>
          </w:p>
        </w:tc>
        <w:tc>
          <w:tcPr>
            <w:tcW w:w="443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1.废水：主要为生活污水</w:t>
            </w:r>
            <w:r>
              <w:rPr>
                <w:rFonts w:hint="eastAsia" w:ascii="仿宋_GB2312" w:hAnsi="仿宋_GB2312" w:eastAsia="仿宋_GB2312" w:cs="仿宋_GB2312"/>
                <w:b w:val="0"/>
                <w:bCs w:val="0"/>
                <w:color w:val="auto"/>
                <w:szCs w:val="21"/>
                <w:lang w:eastAsia="zh-CN"/>
              </w:rPr>
              <w:t>和生产废水</w:t>
            </w:r>
            <w:r>
              <w:rPr>
                <w:rFonts w:hint="eastAsia" w:ascii="仿宋_GB2312" w:hAnsi="仿宋_GB2312" w:eastAsia="仿宋_GB2312" w:cs="仿宋_GB2312"/>
                <w:b w:val="0"/>
                <w:bCs w:val="0"/>
                <w:color w:val="auto"/>
                <w:szCs w:val="21"/>
              </w:rPr>
              <w:t>，经处理后排入市政污水管网</w:t>
            </w:r>
            <w:r>
              <w:rPr>
                <w:rFonts w:hint="eastAsia" w:ascii="仿宋_GB2312" w:hAnsi="仿宋_GB2312" w:eastAsia="仿宋_GB2312" w:cs="仿宋_GB2312"/>
                <w:b w:val="0"/>
                <w:bCs w:val="0"/>
                <w:color w:val="auto"/>
                <w:szCs w:val="21"/>
                <w:lang w:eastAsia="zh-CN"/>
              </w:rPr>
              <w:t>。</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2</w:t>
            </w:r>
            <w:r>
              <w:rPr>
                <w:rFonts w:hint="eastAsia" w:ascii="仿宋_GB2312" w:hAnsi="仿宋_GB2312" w:eastAsia="仿宋_GB2312" w:cs="仿宋_GB2312"/>
                <w:b w:val="0"/>
                <w:bCs w:val="0"/>
                <w:color w:val="auto"/>
                <w:szCs w:val="21"/>
              </w:rPr>
              <w:t>.固废：有环卫工人收集统一处理</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3</w:t>
            </w:r>
            <w:r>
              <w:rPr>
                <w:rFonts w:hint="eastAsia" w:ascii="仿宋_GB2312" w:hAnsi="仿宋_GB2312" w:eastAsia="仿宋_GB2312" w:cs="仿宋_GB2312"/>
                <w:b w:val="0"/>
                <w:bCs w:val="0"/>
                <w:color w:val="auto"/>
                <w:szCs w:val="21"/>
              </w:rPr>
              <w:t>.噪声：均置于地下设备间，经距离，房屋隔音后衰减，对居民影响较小</w:t>
            </w:r>
          </w:p>
        </w:tc>
        <w:tc>
          <w:tcPr>
            <w:tcW w:w="24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4"/>
                <w:szCs w:val="24"/>
                <w:u w:val="none"/>
                <w:lang w:val="en-US" w:eastAsia="zh-CN" w:bidi="ar"/>
              </w:rPr>
              <w:t>4</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郑州市弘安塑编制品厂</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郑州市弘安塑编制品厂</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郑州市惠源区毛庄村南</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塑编</w:t>
            </w:r>
          </w:p>
        </w:tc>
        <w:tc>
          <w:tcPr>
            <w:tcW w:w="443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1.废气经回收装置处理，其他不可控废气无组织排放。</w:t>
            </w:r>
          </w:p>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2.废水经化粪池收集处理后定期清运</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3.噪声设置减震垫等措施。</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4、生活垃圾集中处理</w:t>
            </w:r>
          </w:p>
        </w:tc>
        <w:tc>
          <w:tcPr>
            <w:tcW w:w="24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kern w:val="0"/>
                <w:szCs w:val="21"/>
                <w:lang w:val="en-US" w:eastAsia="zh-CN"/>
              </w:rPr>
            </w:pPr>
            <w:r>
              <w:rPr>
                <w:rFonts w:hint="eastAsia" w:ascii="宋体" w:hAnsi="宋体" w:eastAsia="宋体" w:cs="宋体"/>
                <w:b w:val="0"/>
                <w:bCs w:val="0"/>
                <w:i w:val="0"/>
                <w:color w:val="auto"/>
                <w:kern w:val="0"/>
                <w:sz w:val="24"/>
                <w:szCs w:val="24"/>
                <w:u w:val="none"/>
                <w:lang w:val="en-US" w:eastAsia="zh-CN" w:bidi="ar"/>
              </w:rPr>
              <w:t>5</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郑州市水润万家饮品有限公司</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郑州市水润万家饮品有限公司</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森林湖东</w:t>
            </w:r>
          </w:p>
        </w:tc>
        <w:tc>
          <w:tcPr>
            <w:tcW w:w="152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桶装水生产</w:t>
            </w:r>
          </w:p>
        </w:tc>
        <w:tc>
          <w:tcPr>
            <w:tcW w:w="4432" w:type="dxa"/>
            <w:tcBorders>
              <w:top w:val="single" w:color="auto" w:sz="4" w:space="0"/>
              <w:left w:val="single" w:color="auto" w:sz="4" w:space="0"/>
              <w:bottom w:val="single" w:color="auto" w:sz="4" w:space="0"/>
              <w:right w:val="single" w:color="auto" w:sz="4" w:space="0"/>
            </w:tcBorders>
            <w:textDirection w:val="lrTb"/>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1</w:t>
            </w:r>
            <w:r>
              <w:rPr>
                <w:rFonts w:hint="eastAsia" w:ascii="仿宋_GB2312" w:hAnsi="仿宋_GB2312" w:eastAsia="仿宋_GB2312" w:cs="仿宋_GB2312"/>
                <w:b w:val="0"/>
                <w:bCs w:val="0"/>
                <w:color w:val="auto"/>
                <w:szCs w:val="21"/>
              </w:rPr>
              <w:t>.废水经化粪池收集处理后定期清运。</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2</w:t>
            </w:r>
            <w:r>
              <w:rPr>
                <w:rFonts w:hint="eastAsia" w:ascii="仿宋_GB2312" w:hAnsi="仿宋_GB2312" w:eastAsia="仿宋_GB2312" w:cs="仿宋_GB2312"/>
                <w:b w:val="0"/>
                <w:bCs w:val="0"/>
                <w:color w:val="auto"/>
                <w:szCs w:val="21"/>
              </w:rPr>
              <w:t>.噪声设置减震垫等措施。</w:t>
            </w:r>
          </w:p>
          <w:p>
            <w:pPr>
              <w:jc w:val="left"/>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3</w:t>
            </w:r>
            <w:r>
              <w:rPr>
                <w:rFonts w:hint="eastAsia" w:ascii="仿宋_GB2312" w:hAnsi="仿宋_GB2312" w:eastAsia="仿宋_GB2312" w:cs="仿宋_GB2312"/>
                <w:b w:val="0"/>
                <w:bCs w:val="0"/>
                <w:color w:val="auto"/>
                <w:szCs w:val="21"/>
              </w:rPr>
              <w:t>、生活垃圾集中处理；油污经有资质单位进行处理。</w:t>
            </w:r>
          </w:p>
        </w:tc>
        <w:tc>
          <w:tcPr>
            <w:tcW w:w="2486"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4"/>
                <w:szCs w:val="24"/>
                <w:u w:val="none"/>
                <w:lang w:val="en-US" w:eastAsia="zh-CN" w:bidi="ar"/>
              </w:rPr>
              <w:t>6</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年加工150套模具项目</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万达刘氏模具</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牛庄村五组</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机械加工</w:t>
            </w:r>
          </w:p>
        </w:tc>
        <w:tc>
          <w:tcPr>
            <w:tcW w:w="4432" w:type="dxa"/>
            <w:tcBorders>
              <w:top w:val="single" w:color="auto" w:sz="4" w:space="0"/>
              <w:left w:val="single" w:color="auto" w:sz="4" w:space="0"/>
              <w:bottom w:val="single" w:color="auto" w:sz="4" w:space="0"/>
              <w:right w:val="single" w:color="auto" w:sz="4" w:space="0"/>
            </w:tcBorders>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1</w:t>
            </w:r>
            <w:r>
              <w:rPr>
                <w:rFonts w:hint="eastAsia" w:ascii="仿宋_GB2312" w:hAnsi="仿宋_GB2312" w:eastAsia="仿宋_GB2312" w:cs="仿宋_GB2312"/>
                <w:b w:val="0"/>
                <w:bCs w:val="0"/>
                <w:color w:val="auto"/>
                <w:szCs w:val="21"/>
              </w:rPr>
              <w:t>.废水经化粪池收集处理后</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2</w:t>
            </w:r>
            <w:r>
              <w:rPr>
                <w:rFonts w:hint="eastAsia" w:ascii="仿宋_GB2312" w:hAnsi="仿宋_GB2312" w:eastAsia="仿宋_GB2312" w:cs="仿宋_GB2312"/>
                <w:b w:val="0"/>
                <w:bCs w:val="0"/>
                <w:color w:val="auto"/>
                <w:szCs w:val="21"/>
              </w:rPr>
              <w:t>.噪声设置减震垫等措施。</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3</w:t>
            </w:r>
            <w:r>
              <w:rPr>
                <w:rFonts w:hint="eastAsia" w:ascii="仿宋_GB2312" w:hAnsi="仿宋_GB2312" w:eastAsia="仿宋_GB2312" w:cs="仿宋_GB2312"/>
                <w:b w:val="0"/>
                <w:bCs w:val="0"/>
                <w:color w:val="auto"/>
                <w:szCs w:val="21"/>
              </w:rPr>
              <w:t>、生活垃圾集中处理</w:t>
            </w:r>
            <w:r>
              <w:rPr>
                <w:rFonts w:hint="eastAsia" w:ascii="仿宋_GB2312" w:hAnsi="仿宋_GB2312" w:eastAsia="仿宋_GB2312" w:cs="仿宋_GB2312"/>
                <w:b w:val="0"/>
                <w:bCs w:val="0"/>
                <w:color w:val="auto"/>
                <w:szCs w:val="21"/>
                <w:lang w:eastAsia="zh-CN"/>
              </w:rPr>
              <w:t>，废铁屑集中收集后外售</w:t>
            </w:r>
          </w:p>
        </w:tc>
        <w:tc>
          <w:tcPr>
            <w:tcW w:w="24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4"/>
                <w:szCs w:val="24"/>
                <w:u w:val="none"/>
                <w:lang w:val="en-US" w:eastAsia="zh-CN" w:bidi="ar"/>
              </w:rPr>
              <w:t>7</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年</w:t>
            </w:r>
            <w:r>
              <w:rPr>
                <w:rStyle w:val="4"/>
                <w:b w:val="0"/>
                <w:bCs w:val="0"/>
                <w:color w:val="auto"/>
                <w:lang w:val="en-US" w:eastAsia="zh-CN" w:bidi="ar"/>
              </w:rPr>
              <w:t>加工10000外套、垫板项目</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郑州市万达预应力设备有限公司</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牛庄</w:t>
            </w:r>
          </w:p>
        </w:tc>
        <w:tc>
          <w:tcPr>
            <w:tcW w:w="152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textAlignment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eastAsia="zh-CN"/>
              </w:rPr>
              <w:t>机械加工</w:t>
            </w:r>
          </w:p>
        </w:tc>
        <w:tc>
          <w:tcPr>
            <w:tcW w:w="4432" w:type="dxa"/>
            <w:tcBorders>
              <w:top w:val="single" w:color="auto" w:sz="4" w:space="0"/>
              <w:left w:val="single" w:color="auto" w:sz="4" w:space="0"/>
              <w:bottom w:val="single" w:color="auto" w:sz="4" w:space="0"/>
              <w:right w:val="single" w:color="auto" w:sz="4" w:space="0"/>
            </w:tcBorders>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1</w:t>
            </w:r>
            <w:r>
              <w:rPr>
                <w:rFonts w:hint="eastAsia" w:ascii="仿宋_GB2312" w:hAnsi="仿宋_GB2312" w:eastAsia="仿宋_GB2312" w:cs="仿宋_GB2312"/>
                <w:b w:val="0"/>
                <w:bCs w:val="0"/>
                <w:color w:val="auto"/>
                <w:szCs w:val="21"/>
              </w:rPr>
              <w:t>.废水经化粪池收集处理后</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2</w:t>
            </w:r>
            <w:r>
              <w:rPr>
                <w:rFonts w:hint="eastAsia" w:ascii="仿宋_GB2312" w:hAnsi="仿宋_GB2312" w:eastAsia="仿宋_GB2312" w:cs="仿宋_GB2312"/>
                <w:b w:val="0"/>
                <w:bCs w:val="0"/>
                <w:color w:val="auto"/>
                <w:szCs w:val="21"/>
              </w:rPr>
              <w:t>.噪声设置减震垫等措施。</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val="en-US" w:eastAsia="zh-CN"/>
              </w:rPr>
              <w:t>3</w:t>
            </w:r>
            <w:r>
              <w:rPr>
                <w:rFonts w:hint="eastAsia" w:ascii="仿宋_GB2312" w:hAnsi="仿宋_GB2312" w:eastAsia="仿宋_GB2312" w:cs="仿宋_GB2312"/>
                <w:b w:val="0"/>
                <w:bCs w:val="0"/>
                <w:color w:val="auto"/>
                <w:szCs w:val="21"/>
              </w:rPr>
              <w:t>、生活垃圾集中处理</w:t>
            </w:r>
            <w:r>
              <w:rPr>
                <w:rFonts w:hint="eastAsia" w:ascii="仿宋_GB2312" w:hAnsi="仿宋_GB2312" w:eastAsia="仿宋_GB2312" w:cs="仿宋_GB2312"/>
                <w:b w:val="0"/>
                <w:bCs w:val="0"/>
                <w:color w:val="auto"/>
                <w:szCs w:val="21"/>
                <w:lang w:eastAsia="zh-CN"/>
              </w:rPr>
              <w:t>，废铁屑集中收集后外售</w:t>
            </w:r>
          </w:p>
        </w:tc>
        <w:tc>
          <w:tcPr>
            <w:tcW w:w="24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eastAsia="zh-CN"/>
              </w:rPr>
            </w:pPr>
            <w:r>
              <w:rPr>
                <w:rFonts w:hint="eastAsia" w:ascii="宋体" w:hAnsi="宋体" w:eastAsia="宋体" w:cs="宋体"/>
                <w:b w:val="0"/>
                <w:bCs w:val="0"/>
                <w:i w:val="0"/>
                <w:color w:val="auto"/>
                <w:kern w:val="0"/>
                <w:sz w:val="24"/>
                <w:szCs w:val="24"/>
                <w:u w:val="none"/>
                <w:lang w:val="en-US" w:eastAsia="zh-CN" w:bidi="ar"/>
              </w:rPr>
              <w:t>8</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年产7万柱暖气片项目</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2"/>
                <w:szCs w:val="22"/>
                <w:u w:val="none"/>
                <w:lang w:val="en-US" w:eastAsia="zh-CN" w:bidi="ar"/>
              </w:rPr>
              <w:t>明天工贸</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武术学校院内江山路浮桥路交叉口</w:t>
            </w:r>
          </w:p>
        </w:tc>
        <w:tc>
          <w:tcPr>
            <w:tcW w:w="15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暖气片生产</w:t>
            </w:r>
          </w:p>
        </w:tc>
        <w:tc>
          <w:tcPr>
            <w:tcW w:w="4432" w:type="dxa"/>
            <w:tcBorders>
              <w:top w:val="single" w:color="auto" w:sz="4" w:space="0"/>
              <w:left w:val="single" w:color="auto" w:sz="4" w:space="0"/>
              <w:bottom w:val="single" w:color="auto" w:sz="4" w:space="0"/>
              <w:right w:val="single" w:color="auto" w:sz="4" w:space="0"/>
            </w:tcBorders>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1.废水经隔油池后排入化粪池处理后定期清运</w:t>
            </w:r>
          </w:p>
          <w:p>
            <w:pPr>
              <w:jc w:val="left"/>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2.废气：通过</w:t>
            </w:r>
            <w:r>
              <w:rPr>
                <w:rFonts w:hint="eastAsia" w:ascii="仿宋_GB2312" w:hAnsi="仿宋_GB2312" w:eastAsia="仿宋_GB2312" w:cs="仿宋_GB2312"/>
                <w:b w:val="0"/>
                <w:bCs w:val="0"/>
                <w:color w:val="auto"/>
                <w:szCs w:val="21"/>
                <w:lang w:val="en-US" w:eastAsia="zh-CN"/>
              </w:rPr>
              <w:t>8m</w:t>
            </w:r>
            <w:r>
              <w:rPr>
                <w:rFonts w:hint="eastAsia" w:ascii="仿宋_GB2312" w:hAnsi="仿宋_GB2312" w:eastAsia="仿宋_GB2312" w:cs="仿宋_GB2312"/>
                <w:b w:val="0"/>
                <w:bCs w:val="0"/>
                <w:color w:val="auto"/>
                <w:szCs w:val="21"/>
              </w:rPr>
              <w:t>高烟囱排出</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3.固体废物收集后定期清运；</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4、噪声安装减震、消声、隔声罩</w:t>
            </w:r>
          </w:p>
        </w:tc>
        <w:tc>
          <w:tcPr>
            <w:tcW w:w="24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val="en-US" w:eastAsia="zh-CN"/>
              </w:rPr>
            </w:pPr>
            <w:r>
              <w:rPr>
                <w:rFonts w:hint="eastAsia" w:ascii="宋体" w:hAnsi="宋体" w:eastAsia="宋体" w:cs="宋体"/>
                <w:b w:val="0"/>
                <w:bCs w:val="0"/>
                <w:i w:val="0"/>
                <w:color w:val="auto"/>
                <w:kern w:val="0"/>
                <w:sz w:val="24"/>
                <w:szCs w:val="24"/>
                <w:u w:val="none"/>
                <w:lang w:val="en-US" w:eastAsia="zh-CN" w:bidi="ar"/>
              </w:rPr>
              <w:t>9</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年产9万吨稳定碎石混凝土、6万吨沥青混凝土项目</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昌达搅拌站</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马村</w:t>
            </w:r>
          </w:p>
        </w:tc>
        <w:tc>
          <w:tcPr>
            <w:tcW w:w="152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搅拌站</w:t>
            </w:r>
          </w:p>
        </w:tc>
        <w:tc>
          <w:tcPr>
            <w:tcW w:w="4432" w:type="dxa"/>
            <w:tcBorders>
              <w:top w:val="single" w:color="auto" w:sz="4" w:space="0"/>
              <w:left w:val="single" w:color="auto" w:sz="4" w:space="0"/>
              <w:bottom w:val="single" w:color="auto" w:sz="4" w:space="0"/>
              <w:right w:val="single" w:color="auto" w:sz="4" w:space="0"/>
            </w:tcBorders>
            <w:textDirection w:val="lrTb"/>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1.废水：冲洗废水经循环沉淀池沉淀后回用；生活污水经隔沉淀池处理后用于绿化</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2.废气：堆场、搅拌主楼、输送系统密闭，设置喷淋；搅拌系统设置袋式除尘器</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3.固体废物：生产废料用于回用；生活垃圾集中收集后定期清运</w:t>
            </w:r>
          </w:p>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4、噪声设置减震、隔声等装置</w:t>
            </w:r>
          </w:p>
        </w:tc>
        <w:tc>
          <w:tcPr>
            <w:tcW w:w="2486"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Cs w:val="21"/>
                <w:lang w:val="en-US" w:eastAsia="zh-CN"/>
              </w:rPr>
            </w:pPr>
            <w:r>
              <w:rPr>
                <w:rFonts w:hint="eastAsia" w:ascii="宋体" w:hAnsi="宋体" w:eastAsia="宋体" w:cs="宋体"/>
                <w:b w:val="0"/>
                <w:bCs w:val="0"/>
                <w:i w:val="0"/>
                <w:color w:val="auto"/>
                <w:kern w:val="0"/>
                <w:sz w:val="24"/>
                <w:szCs w:val="24"/>
                <w:u w:val="none"/>
                <w:lang w:val="en-US" w:eastAsia="zh-CN" w:bidi="ar"/>
              </w:rPr>
              <w:t>10</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年产9万吨稳定碎石混凝土、6万吨沥青混凝土项目</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郑州昌达建筑工程有限公司（与昌达搅拌站为同一家）</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马村</w:t>
            </w:r>
          </w:p>
        </w:tc>
        <w:tc>
          <w:tcPr>
            <w:tcW w:w="152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textAlignment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lang w:eastAsia="zh-CN"/>
              </w:rPr>
              <w:t>搅拌站</w:t>
            </w:r>
          </w:p>
        </w:tc>
        <w:tc>
          <w:tcPr>
            <w:tcW w:w="4432" w:type="dxa"/>
            <w:tcBorders>
              <w:top w:val="single" w:color="auto" w:sz="4" w:space="0"/>
              <w:left w:val="single" w:color="auto" w:sz="4" w:space="0"/>
              <w:bottom w:val="single" w:color="auto" w:sz="4" w:space="0"/>
              <w:right w:val="single" w:color="auto" w:sz="4" w:space="0"/>
            </w:tcBorders>
            <w:textDirection w:val="lrTb"/>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1.废水：冲洗废水经循环沉淀池沉淀后回用；生活污水经隔沉淀池处理后用于绿化</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2.废气：堆场、搅拌主楼、输送系统密闭，设置喷淋；搅拌系统设置袋式除尘器</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3.固体废物：生产废料用于回用；生活垃圾集中收集后定期清运</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4、噪声设置减震、隔声等装置</w:t>
            </w:r>
          </w:p>
        </w:tc>
        <w:tc>
          <w:tcPr>
            <w:tcW w:w="2486"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4"/>
                <w:szCs w:val="24"/>
                <w:u w:val="none"/>
                <w:lang w:val="en-US" w:eastAsia="zh-CN" w:bidi="ar"/>
              </w:rPr>
              <w:t>11</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年产1500万米洗涤棉漂白布项目</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郑州古荥印染有限公司（郑州古荥纺织实业有限公司）</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广武车站南</w:t>
            </w:r>
          </w:p>
        </w:tc>
        <w:tc>
          <w:tcPr>
            <w:tcW w:w="15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洗涤棉、漂白布</w:t>
            </w:r>
          </w:p>
        </w:tc>
        <w:tc>
          <w:tcPr>
            <w:tcW w:w="4432" w:type="dxa"/>
            <w:tcBorders>
              <w:top w:val="single" w:color="auto" w:sz="4" w:space="0"/>
              <w:left w:val="single" w:color="auto" w:sz="4" w:space="0"/>
              <w:bottom w:val="single" w:color="auto" w:sz="4" w:space="0"/>
              <w:right w:val="single" w:color="auto" w:sz="4" w:space="0"/>
            </w:tcBorders>
            <w:textDirection w:val="lrTb"/>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1.废水：</w:t>
            </w:r>
            <w:r>
              <w:rPr>
                <w:rFonts w:hint="eastAsia" w:ascii="仿宋_GB2312" w:hAnsi="仿宋_GB2312" w:eastAsia="仿宋_GB2312" w:cs="仿宋_GB2312"/>
                <w:b w:val="0"/>
                <w:bCs w:val="0"/>
                <w:color w:val="auto"/>
                <w:szCs w:val="21"/>
                <w:lang w:eastAsia="zh-CN"/>
              </w:rPr>
              <w:t>生产废水经混凝沉淀</w:t>
            </w:r>
            <w:r>
              <w:rPr>
                <w:rFonts w:hint="eastAsia" w:ascii="仿宋_GB2312" w:hAnsi="仿宋_GB2312" w:eastAsia="仿宋_GB2312" w:cs="仿宋_GB2312"/>
                <w:b w:val="0"/>
                <w:bCs w:val="0"/>
                <w:color w:val="auto"/>
                <w:szCs w:val="21"/>
                <w:lang w:val="en-US" w:eastAsia="zh-CN"/>
              </w:rPr>
              <w:t>+A/O+二次沉淀处理后30%用于回佣，其余进入古荥镇古荥村污水处理站；</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2.废气：</w:t>
            </w:r>
            <w:r>
              <w:rPr>
                <w:rFonts w:hint="eastAsia" w:ascii="仿宋_GB2312" w:hAnsi="仿宋_GB2312" w:eastAsia="仿宋_GB2312" w:cs="仿宋_GB2312"/>
                <w:b w:val="0"/>
                <w:bCs w:val="0"/>
                <w:color w:val="auto"/>
                <w:szCs w:val="21"/>
                <w:lang w:eastAsia="zh-CN"/>
              </w:rPr>
              <w:t>锅炉废气经</w:t>
            </w:r>
            <w:r>
              <w:rPr>
                <w:rFonts w:hint="eastAsia" w:ascii="仿宋_GB2312" w:hAnsi="仿宋_GB2312" w:eastAsia="仿宋_GB2312" w:cs="仿宋_GB2312"/>
                <w:b w:val="0"/>
                <w:bCs w:val="0"/>
                <w:color w:val="auto"/>
                <w:szCs w:val="21"/>
                <w:lang w:val="en-US" w:eastAsia="zh-CN"/>
              </w:rPr>
              <w:t>5m高排气筒排放；</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3.固体废物：生产废料用于回用；生活垃圾集中收集后定期清运</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4、噪声设置减震、隔声等装置</w:t>
            </w:r>
          </w:p>
        </w:tc>
        <w:tc>
          <w:tcPr>
            <w:tcW w:w="2486"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7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4"/>
                <w:szCs w:val="24"/>
                <w:u w:val="none"/>
                <w:lang w:val="en-US" w:eastAsia="zh-CN" w:bidi="ar"/>
              </w:rPr>
              <w:t>12</w:t>
            </w:r>
          </w:p>
        </w:tc>
        <w:tc>
          <w:tcPr>
            <w:tcW w:w="168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年产2万吨新型保温材料项目</w:t>
            </w:r>
          </w:p>
        </w:tc>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Cs w:val="21"/>
              </w:rPr>
            </w:pPr>
            <w:r>
              <w:rPr>
                <w:rFonts w:hint="eastAsia" w:ascii="宋体" w:hAnsi="宋体" w:eastAsia="宋体" w:cs="宋体"/>
                <w:b w:val="0"/>
                <w:bCs w:val="0"/>
                <w:i w:val="0"/>
                <w:color w:val="auto"/>
                <w:kern w:val="0"/>
                <w:sz w:val="20"/>
                <w:szCs w:val="20"/>
                <w:u w:val="none"/>
                <w:lang w:val="en-US" w:eastAsia="zh-CN" w:bidi="ar"/>
              </w:rPr>
              <w:t>郑州大唐耐火保温材料有限公司(河南鹏宇耐火保温防腐工程有限公司)</w:t>
            </w:r>
          </w:p>
        </w:tc>
        <w:tc>
          <w:tcPr>
            <w:tcW w:w="162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ascii="仿宋_GB2312" w:hAnsi="仿宋_GB2312" w:eastAsia="仿宋_GB2312" w:cs="仿宋_GB2312"/>
                <w:b w:val="0"/>
                <w:bCs w:val="0"/>
                <w:color w:val="auto"/>
                <w:kern w:val="0"/>
                <w:szCs w:val="21"/>
              </w:rPr>
            </w:pPr>
            <w:r>
              <w:rPr>
                <w:rFonts w:hint="eastAsia" w:ascii="宋体" w:hAnsi="宋体" w:eastAsia="宋体" w:cs="宋体"/>
                <w:b w:val="0"/>
                <w:bCs w:val="0"/>
                <w:i w:val="0"/>
                <w:color w:val="auto"/>
                <w:kern w:val="0"/>
                <w:sz w:val="20"/>
                <w:szCs w:val="20"/>
                <w:u w:val="none"/>
                <w:lang w:val="en-US" w:eastAsia="zh-CN" w:bidi="ar"/>
              </w:rPr>
              <w:t>马村</w:t>
            </w:r>
          </w:p>
        </w:tc>
        <w:tc>
          <w:tcPr>
            <w:tcW w:w="152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val="0"/>
                <w:color w:val="auto"/>
                <w:szCs w:val="21"/>
                <w:lang w:eastAsia="zh-CN"/>
              </w:rPr>
            </w:pPr>
            <w:r>
              <w:rPr>
                <w:rFonts w:hint="eastAsia" w:ascii="仿宋_GB2312" w:hAnsi="仿宋_GB2312" w:eastAsia="仿宋_GB2312" w:cs="仿宋_GB2312"/>
                <w:b w:val="0"/>
                <w:bCs w:val="0"/>
                <w:color w:val="auto"/>
                <w:szCs w:val="21"/>
                <w:lang w:eastAsia="zh-CN"/>
              </w:rPr>
              <w:t>保温材料</w:t>
            </w:r>
          </w:p>
        </w:tc>
        <w:tc>
          <w:tcPr>
            <w:tcW w:w="4432" w:type="dxa"/>
            <w:tcBorders>
              <w:top w:val="single" w:color="auto" w:sz="4" w:space="0"/>
              <w:left w:val="single" w:color="auto" w:sz="4" w:space="0"/>
              <w:bottom w:val="single" w:color="auto" w:sz="4" w:space="0"/>
              <w:right w:val="single" w:color="auto" w:sz="4" w:space="0"/>
            </w:tcBorders>
            <w:textDirection w:val="lrTb"/>
            <w:vAlign w:val="center"/>
          </w:tcPr>
          <w:p>
            <w:pPr>
              <w:spacing w:line="220" w:lineRule="atLeast"/>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1.废水：冲洗废水经</w:t>
            </w:r>
            <w:r>
              <w:rPr>
                <w:rFonts w:hint="eastAsia" w:ascii="仿宋_GB2312" w:hAnsi="仿宋_GB2312" w:eastAsia="仿宋_GB2312" w:cs="仿宋_GB2312"/>
                <w:b w:val="0"/>
                <w:bCs w:val="0"/>
                <w:color w:val="auto"/>
                <w:szCs w:val="21"/>
                <w:lang w:eastAsia="zh-CN"/>
              </w:rPr>
              <w:t>收集后进入沉淀池回用，</w:t>
            </w:r>
            <w:r>
              <w:rPr>
                <w:rFonts w:hint="eastAsia" w:ascii="仿宋_GB2312" w:hAnsi="仿宋_GB2312" w:eastAsia="仿宋_GB2312" w:cs="仿宋_GB2312"/>
                <w:b w:val="0"/>
                <w:bCs w:val="0"/>
                <w:color w:val="auto"/>
                <w:szCs w:val="21"/>
              </w:rPr>
              <w:t>生活污水经</w:t>
            </w:r>
            <w:r>
              <w:rPr>
                <w:rFonts w:hint="eastAsia" w:ascii="仿宋_GB2312" w:hAnsi="仿宋_GB2312" w:eastAsia="仿宋_GB2312" w:cs="仿宋_GB2312"/>
                <w:b w:val="0"/>
                <w:bCs w:val="0"/>
                <w:color w:val="auto"/>
                <w:szCs w:val="21"/>
                <w:lang w:eastAsia="zh-CN"/>
              </w:rPr>
              <w:t>化粪池处理后用于肥田；</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2.废气</w:t>
            </w:r>
            <w:r>
              <w:rPr>
                <w:rFonts w:hint="eastAsia" w:ascii="仿宋_GB2312" w:hAnsi="仿宋_GB2312" w:eastAsia="仿宋_GB2312" w:cs="仿宋_GB2312"/>
                <w:b w:val="0"/>
                <w:bCs w:val="0"/>
                <w:color w:val="auto"/>
                <w:szCs w:val="21"/>
                <w:lang w:eastAsia="zh-CN"/>
              </w:rPr>
              <w:t>：设有旋风除尘</w:t>
            </w:r>
            <w:r>
              <w:rPr>
                <w:rFonts w:hint="eastAsia" w:ascii="仿宋_GB2312" w:hAnsi="仿宋_GB2312" w:eastAsia="仿宋_GB2312" w:cs="仿宋_GB2312"/>
                <w:b w:val="0"/>
                <w:bCs w:val="0"/>
                <w:color w:val="auto"/>
                <w:szCs w:val="21"/>
                <w:lang w:val="en-US" w:eastAsia="zh-CN"/>
              </w:rPr>
              <w:t>+袋式除尘后经30m高排气筒排放，成棉废气经40m高排气筒排放；</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3.固体废物：生产废料用于回用；生活垃圾集中收集后定期清运</w:t>
            </w:r>
          </w:p>
          <w:p>
            <w:pPr>
              <w:jc w:val="left"/>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4、噪声设置减震、隔声等装置</w:t>
            </w:r>
          </w:p>
        </w:tc>
        <w:tc>
          <w:tcPr>
            <w:tcW w:w="2486"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达标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Verdana">
    <w:panose1 w:val="020B0604030504040204"/>
    <w:charset w:val="00"/>
    <w:family w:val="auto"/>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Calibri Light">
    <w:altName w:val="Arial"/>
    <w:panose1 w:val="020F0302020204030204"/>
    <w:charset w:val="00"/>
    <w:family w:val="swiss"/>
    <w:pitch w:val="default"/>
    <w:sig w:usb0="00000000" w:usb1="00000000" w:usb2="00000000" w:usb3="00000000" w:csb0="0000019F"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A7E2A"/>
    <w:rsid w:val="192A7E2A"/>
    <w:rsid w:val="1BAA5B0E"/>
    <w:rsid w:val="1E4C3176"/>
    <w:rsid w:val="3B4E01B9"/>
    <w:rsid w:val="4CB810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2016-12-14T02:36:00Z</dcterms:created>
  <dc:creator>Administrator</dc:creator>
  <cp:lastModifiedBy>Administrator</cp:lastModifiedBy>
  <dcterms:modified xsi:type="dcterms:W3CDTF">2017-01-03T11:50:59Z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